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3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18 de agosto de 2001 en el Registro General de este Tribunal la Asesora Jurídica-Letrada de la Comunidad Foral de Navarra, actuando en representación de ésta, interpuso recurso de amparo contra la Sentencia de 19 de julio de 2001 de la Sala de lo Contencioso-Administrativo del Tribunal Superior de Justicia de Navarra, por la que se estima el recurso contencioso- administrativo formulado frente a Acuerdo del Gobierno de Navarra de 30 de marzo de 1998, desestimatorio, a su vez, del recurso ordinario promovido contra la Orden Foral núm. 1176/1997, de 2 de octubre, de la Consejera de Medio Ambiente, Ordenación del Territorio y Vivienda,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1176/1997, de 2 de octubre, la Consejera de Medio Ambiente, Ordenación del Territorio y Vivienda impuso a la mercantil Electra Larraun, S.A.,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Acuerdo del Gobierno de Navarra de 30 de marzo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formularan las alegaciones que considerasen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ésta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tal aportación al entender que esta posibilidad únicamente cabe en el trámite de ampliación del expediente. La inadmisión del documento en ese momento procesal no se ajusta a Derecho porque: 1) su aportación en el trámite del art. 43.2 LJCA de 1956 únicamente pretende poner de manifiesto que el hecho estaba probado en el expediente, admitido y consentido de contrario, y que no había existido disconformidad entre las partes al respecto; 2) el art. 70 LJCA de 1956 tiene por finalidad completar el expediente si las partes entienden que no lo está, extremo sobre el cual la Administración Foral no albergó dudas en ningún momento; 3) la Sala no ejercitó la facultad que le confería el art. 61 LJCA de 1956 (actual art. 48) de reclamar el expediente completo a la Administración; y 4)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alegación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 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 </w:t>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 </w:t>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19 de julio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de un lado porque "la motivación en la que se fundamenta el fallo de la Sentencia recurrida en amparo constituye un error patente y es manifiestamente irrazonable y arbitraria"; y de otro porque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habría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el FJ 8 de la citada STC 175/2001, entre los que no se encuentra aquel al que hace referencia la presente queja.</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4594-2001.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