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15 de noviembre de 2003 el Procurador don Alvaro Arana Moro interpuso demanda de amparo, en nombre y representación de don Jesús Manuel Sánchez Paz, contra Auto de la Audiencia Provincial de Santa Cruz de Tenerife (Sección Primera) de 23 de septiembre de 2002, recaído en recurso de apelación dimanante de juicio de divorcio núm. 271/99 seguido ante el Juzgado de Primera Instancia e Instrucción núm. 1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que el Auto de la Audiencia impugnado vulnera el derecho a la igualdad (art. 14 CE), el derecho a la tutela judicial efectiva (art. 24. 1 CE) y el derecho a un proceso con todas las garantías y a utilizar los medios de prueba pertinentes para la defensa (art. 24. 2 CE). Así mismo, por medio de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abril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don Alvaro Arana Moro presentó escrito en este Tribunal, registrado el 3 de mayo de 2004, en el que formula sus alegaciones en relación con el incidente de suspensión, aduciendo que la ejecución de la resolución judicial impugnada en amparo ocasionaría al menor cuya guarda y custodia está en litigio un daño irreparable, ya que actualmente se encuentra con su madre, que está influyendo sobre el menor para el repudio de su padre, menor al que, además, se le separa de la convivencia del resto de los hermanos.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5 de mayo de 2004, tras hacer referencia a la excepcionalidad de la medida cautelar de suspensión, así como al criterio de no modificar el régimen de custodia actual del menor, interesa que se deniegue la suspensión solicitada, por no concurrir en el caso presente justificación para excepcionar la regla general de ejecución de resoluciones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comienza estableciendo la regla de que la suspensión de la ejecución del acto de los poderes públicos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y 273/2003, de 22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Teniendo en cuenta lo dicho, en el caso que nos ocupa, y a los solos efectos del incidente de suspensión, hemos de observar que en la Sentencia de separación de mutuo acuerdo de los cónyuges de fecha 12 de febrero de 1999 se acordó que la atribución de la custodia de un hijo menor (J.S.R.)  correspondiera a la madre, régimen de guarda y custodia que permaneció en la Sentencia de divorcio de 23 de noviembre de 2000, pero que fue alterado por Auto de 28 de diciembre de 2001 del Juzgado de Primera Instancia e Instrucción núm. 1 de Santa Cruz al apreciar un cambio de circunstancias que aconsejaba atribuir la guarda y custodia del menor al padre, aunque posteriormente fue restaurado en apelación por Auto de la Audiencia Provincial de Santa Cruz de Tenerife (Sección Primera) de 23 de septiembre de 2002. De donde resulta que, salvo el lapso de tiempo comprendido entre los días 4 de enero y 3 de diciembre de 2002 en los cuales el hijo menor (J.S.R.)  estuvo bajo la guarda y custodia del padre como consecuencia de la ejecución del Auto de 28 de diciembre de 2001, durante el resto del tiempo comprendido entre la Sentencia de divorcio -e incluso la de separación- y esta decisión cautelar ha estado sujeto a la guarda y custodia de la madre; y, sobre todo, esta situación de atribución maternal, como consecuencia de la ejecución de la resolución impugnada en amparo, es la existente en el momento de resolver sobre la solicitud de suspensión, por lo que, conforme a la doctrina expresada, debe ser mantenida, dado que la salvaguarda de los derechos e intereses del menor queda de momento mejor garantizada por el mantenimiento y la no alteración de su ámbito afectivo y de convivencia actual durante la tramitación del recurso de amparo, ya que los sucesivos cambios en dicho ámbito podrían causarle graves perjuicios en su personalidad en formación (como justifica la resolución impugnada en amparo, cuya tesis comparte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en consecuencia, denegar la suspensión solicitada, si bien, en atención a la importancia de los valores e intereses en juego, también es procedente acordar que este recurso de amparo se resuelva en el plazo más breve posible, incluso anteponiéndolo en el orden de los señalamientos, una vez concluida su tramitación (AATC 144/1990, de 29 de marzo; 169/1995, de 5 de junio; 246/1996, de 16 de septiembre; 272/2001, de 29 de octubre; 21/2002, de 25 de febrero y 148/2002, de 23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