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3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Sección Primera: Excms. Srs. Jiménez de Parga y Cabrera, Delgado Barrio y García-Calvo y Montiel.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22 de marzo de 2001 en el Registro General de este Tribunal, el Asesor Jurídico-Letrado de la Comunidad Foral de Navarra interpuso recurso de amparo contra 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1167-01), la Sala de lo Contencioso-Administrativo del Tribunal Superior de Justicia de Navarra, mediante la providencia dictada en virtud del art. 43.2 LJCA de 1956, introdujo de oficio una cuestión nueva -la existencia física de la resolución sancionadora impugnada en el proceso 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 públicas la titularidad del derecho a la tutela judicial efectiva que garantiza el art. 24.1 CE, el presente recurso debe ser admitido a su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Pr="00C21FFE" w:rsidR="00AD51A7" w:rsidRDefault="008777C4">
      <w:pPr>
        <w:rPr/>
      </w:pPr>
      <w:r w:rsidRPr="&lt;w:rPr xmlns:w=&quot;http://schemas.openxmlformats.org/wordprocessingml/2006/main&quot;&gt;&lt;w:lang w:val=&quot;es-ES_tradnl&quot; /&gt;&lt;/w:rPr&gt;">
        <w:rPr/>
        <w:t xml:space="preserve">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23 de mayo de 2002, mediante la que esta misma Sección acordó la inadmisión del recurso de amparo núm. 1635-2001.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