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septiembre de 2003, tuvo entrada en el Registro del Tribunal un escrito de la Sala de lo Contencioso-Administrativo del Tribunal Superior de Justicia de Navarra, al que se acompaña, junto con el testimonio del correspondiente procedimiento, el Auto de 20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1136/2001, de 23 de agosto, del Director General de Salud de la Consejería de Salud de la Comunidad Foral de Navarra, se autorizó a doña Pilar García Torres la apertura de una oficina de Farmacia en la calle Ramiro Goñi núm. 2, en el Municipio de Pamplona.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doña Blanca Sagaseta de Ilurdoz.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22 de octubre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contencioso-administrativo ante la Sala de lo Contencioso-Administrativo del Tribunal Superior de Justicia de Navarra, admitido a trámite con fecha 28 de febrero de 2002 (recurso núm. 179-2002). </w:t>
      </w:r>
    </w:p>
    <w:p w:rsidRPr="00C21FFE" w:rsidR="00AD51A7" w:rsidRDefault="008777C4">
      <w:pPr>
        <w:rPr/>
      </w:pPr>
      <w:r w:rsidRPr="&lt;w:rPr xmlns:w=&quot;http://schemas.openxmlformats.org/wordprocessingml/2006/main&quot;&gt;&lt;w:lang w:val=&quot;es-ES_tradnl&quot; /&gt;&lt;/w:rPr&gt;">
        <w:rP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30 de abril de 2003, evacúa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20 de mayo de 2003, la Sala de lo Contencioso-Administrativo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w:t>
      </w:r>
    </w:p>
    <w:p w:rsidRPr="00C21FFE" w:rsidR="00AD51A7" w:rsidRDefault="008777C4">
      <w:pPr>
        <w:rPr/>
      </w:pPr>
      <w:r w:rsidRPr="&lt;w:rPr xmlns:w=&quot;http://schemas.openxmlformats.org/wordprocessingml/2006/main&quot;&gt;&lt;w:lang w:val=&quot;es-ES_tradnl&quot; /&gt;&lt;/w:rPr&gt;">
        <w:rPr/>
        <w:t xml:space="preserve">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w:t>
      </w:r>
    </w:p>
    <w:p w:rsidRPr="00C21FFE" w:rsidR="00AD51A7" w:rsidRDefault="008777C4">
      <w:pPr>
        <w:rPr/>
      </w:pPr>
      <w:r w:rsidRPr="&lt;w:rPr xmlns:w=&quot;http://schemas.openxmlformats.org/wordprocessingml/2006/main&quot;&gt;&lt;w:lang w:val=&quot;es-ES_tradnl&quot; /&gt;&lt;/w:rPr&gt;">
        <w:rPr/>
        <w:t xml:space="preserve">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resulta de la aplicación del criterio del módulo poblacional no es ni mínimo ni máximo, sino, conceptualmente, el justo que deba constituirse en cada demarcación. </w:t>
      </w:r>
    </w:p>
    <w:p w:rsidRPr="00C21FFE" w:rsidR="00AD51A7" w:rsidRDefault="008777C4">
      <w:pPr>
        <w:rPr/>
      </w:pPr>
      <w:r w:rsidRPr="&lt;w:rPr xmlns:w=&quot;http://schemas.openxmlformats.org/wordprocessingml/2006/main&quot;&gt;&lt;w:lang w:val=&quot;es-ES_tradnl&quot; /&gt;&lt;/w:rPr&gt;">
        <w:rPr/>
        <w:t xml:space="preserve">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w:t>
      </w:r>
    </w:p>
    <w:p w:rsidRPr="00C21FFE" w:rsidR="00AD51A7" w:rsidRDefault="008777C4">
      <w:pPr>
        <w:rPr/>
      </w:pPr>
      <w:r w:rsidRPr="&lt;w:rPr xmlns:w=&quot;http://schemas.openxmlformats.org/wordprocessingml/2006/main&quot;&gt;&lt;w:lang w:val=&quot;es-ES_tradnl&quot; /&gt;&lt;/w:rPr&gt;">
        <w:rPr/>
        <w:t xml:space="preserve">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establecimientos por zonas. </w:t>
      </w:r>
    </w:p>
    <w:p w:rsidRPr="00C21FFE" w:rsidR="00AD51A7" w:rsidRDefault="008777C4">
      <w:pPr>
        <w:rPr/>
      </w:pPr>
      <w:r w:rsidRPr="&lt;w:rPr xmlns:w=&quot;http://schemas.openxmlformats.org/wordprocessingml/2006/main&quot;&gt;&lt;w:lang w:val=&quot;es-ES_tradnl&quot; /&gt;&lt;/w:rPr&gt;">
        <w:rPr/>
        <w:t xml:space="preserve">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w:t>
      </w:r>
    </w:p>
    <w:p w:rsidRPr="00C21FFE" w:rsidR="00AD51A7" w:rsidRDefault="008777C4">
      <w:pPr>
        <w:rPr/>
      </w:pPr>
      <w:r w:rsidRPr="&lt;w:rPr xmlns:w=&quot;http://schemas.openxmlformats.org/wordprocessingml/2006/main&quot;&gt;&lt;w:lang w:val=&quot;es-ES_tradnl&quot; /&gt;&lt;/w:rPr&gt;">
        <w:rPr/>
        <w:t xml:space="preserve">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w:t>
      </w:r>
    </w:p>
    <w:p w:rsidRPr="00C21FFE" w:rsidR="00AD51A7" w:rsidRDefault="008777C4">
      <w:pPr>
        <w:rPr/>
      </w:pPr>
      <w:r w:rsidRPr="&lt;w:rPr xmlns:w=&quot;http://schemas.openxmlformats.org/wordprocessingml/2006/main&quot;&gt;&lt;w:lang w:val=&quot;es-ES_tradnl&quot; /&gt;&lt;/w:rPr&gt;">
        <w:rPr/>
        <w:t xml:space="preserve">b) El voto particular suscrito por el Presidente de la Sala discrepa del planteamiento de la mayoría y considera que no debe plantearse la cuestión, pues cabe hacer una interpretación conforme a la Constitución de los artículos cuestionados. </w:t>
      </w:r>
    </w:p>
    <w:p w:rsidRPr="00C21FFE" w:rsidR="00AD51A7" w:rsidRDefault="008777C4">
      <w:pPr>
        <w:rPr/>
      </w:pPr>
      <w:r w:rsidRPr="&lt;w:rPr xmlns:w=&quot;http://schemas.openxmlformats.org/wordprocessingml/2006/main&quot;&gt;&lt;w:lang w:val=&quot;es-ES_tradnl&quot; /&gt;&lt;/w:rPr&gt;">
        <w:rPr/>
        <w:t xml:space="preserve">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w:t>
      </w:r>
    </w:p>
    <w:p w:rsidRPr="00C21FFE" w:rsidR="00AD51A7" w:rsidRDefault="008777C4">
      <w:pPr>
        <w:rPr/>
      </w:pPr>
      <w:r w:rsidRPr="&lt;w:rPr xmlns:w=&quot;http://schemas.openxmlformats.org/wordprocessingml/2006/main&quot;&gt;&lt;w:lang w:val=&quot;es-ES_tradnl&quot; /&gt;&lt;/w:rPr&gt;">
        <w:rPr/>
        <w:t xml:space="preserve">Estos tres criterios básicos quedan garantizados por la Ley foral. Así, en cuanto al primero de ellos, la planificación farmacéutica se realiza de acuerdo con la planificación sanitaria, que se sustenta en las llamadas "zonas básicas de salud" (arts. 24.2; 26.1, 2 y 3; y 27). </w:t>
      </w:r>
    </w:p>
    <w:p w:rsidRPr="00C21FFE" w:rsidR="00AD51A7" w:rsidRDefault="008777C4">
      <w:pPr>
        <w:rPr/>
      </w:pPr>
      <w:r w:rsidRPr="&lt;w:rPr xmlns:w=&quot;http://schemas.openxmlformats.org/wordprocessingml/2006/main&quot;&gt;&lt;w:lang w:val=&quot;es-ES_tradnl&quot; /&gt;&lt;/w:rPr&gt;">
        <w:rPr/>
        <w:t xml:space="preserve">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w:t>
      </w:r>
    </w:p>
    <w:p w:rsidRPr="00C21FFE" w:rsidR="00AD51A7" w:rsidRDefault="008777C4">
      <w:pPr>
        <w:rPr/>
      </w:pPr>
      <w:r w:rsidRPr="&lt;w:rPr xmlns:w=&quot;http://schemas.openxmlformats.org/wordprocessingml/2006/main&quot;&gt;&lt;w:lang w:val=&quot;es-ES_tradnl&quot; /&gt;&lt;/w:rPr&gt;">
        <w:rPr/>
        <w:t xml:space="preserve">En cuanto a la existencia como máximo de una oficina de farmacia para cada 700 habitantes, que opera como cláusula de cierre, junto con la distancia de 150 metros entre oficinas, debe entenderse referido a la "zona básica de salud". </w:t>
      </w:r>
    </w:p>
    <w:p w:rsidRPr="00C21FFE" w:rsidR="00AD51A7" w:rsidRDefault="008777C4">
      <w:pPr>
        <w:rPr/>
      </w:pPr>
      <w:r w:rsidRPr="&lt;w:rPr xmlns:w=&quot;http://schemas.openxmlformats.org/wordprocessingml/2006/main&quot;&gt;&lt;w:lang w:val=&quot;es-ES_tradnl&quot; /&gt;&lt;/w:rPr&gt;">
        <w:rPr/>
        <w:t xml:space="preserve">Con esta interpretación no se produce vulneración de la normativa básica y queda garantizado el último principio de la misma, esto es, la atención farmacéutica de toda la población. </w:t>
      </w:r>
    </w:p>
    <w:p w:rsidRPr="00C21FFE" w:rsidR="00AD51A7" w:rsidRDefault="008777C4">
      <w:pPr>
        <w:rPr/>
      </w:pPr>
      <w:r w:rsidRPr="&lt;w:rPr xmlns:w=&quot;http://schemas.openxmlformats.org/wordprocessingml/2006/main&quot;&gt;&lt;w:lang w:val=&quot;es-ES_tradnl&quot; /&gt;&lt;/w:rPr&gt;">
        <w:rPr/>
        <w:t xml:space="preserve">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21 de octubre de 2003 se acordó oír al Fiscal General del Estado para que en el plazo de diez días alegue lo que considere conveniente acerca de la admisibilidad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mediante escrito registrado en día 12 de noviembre de 2003, evacua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cuestión de inconstitucionalidad planteada por la Sala de lo Contencioso-Administrativo del Tribunal Superior de Justicia de Navarra respecto de los arts. 24.3, 26 y 27 de la Ley foral 12/2000, de 16 de noviembre, de atención farmacéutica, por</w:t>
      </w:r>
    </w:p>
    <w:p w:rsidRPr="00C21FFE" w:rsidR="00AD51A7" w:rsidRDefault="008777C4">
      <w:pPr>
        <w:rPr/>
      </w:pPr>
      <w:r w:rsidRPr="&lt;w:rPr xmlns:w=&quot;http://schemas.openxmlformats.org/wordprocessingml/2006/main&quot;&gt;&lt;w:lang w:val=&quot;es-ES_tradnl&quot; /&gt;&lt;/w:rPr&gt;">
        <w:rPr/>
        <w:t xml:space="preserve">posible vulneración del art. 149.1.16 CE, resulta idéntica en todo -por su objeto, por su fundamentación y por el precepto delimitador de la distribución competencial que se entiende vulnerado- a la cuestión de inconstitucionalidad núm. 5.308-2003, que</w:t>
      </w:r>
    </w:p>
    <w:p w:rsidRPr="00C21FFE" w:rsidR="00AD51A7" w:rsidRDefault="008777C4">
      <w:pPr>
        <w:rPr/>
      </w:pPr>
      <w:r w:rsidRPr="&lt;w:rPr xmlns:w=&quot;http://schemas.openxmlformats.org/wordprocessingml/2006/main&quot;&gt;&lt;w:lang w:val=&quot;es-ES_tradnl&quot; /&gt;&lt;/w:rPr&gt;">
        <w:rPr/>
        <w:t xml:space="preserve">fue inadmitida a trámite por Auto del Pleno de este Tribunal 62/2004, de 24 de febrero. Procede, por tanto, tener por reproducidas en la cuestión que ahora nos ocupa los razonamientos jurídicos contenidos en el mencionado Auto y, en consecuencia,</w:t>
      </w:r>
    </w:p>
    <w:p w:rsidRPr="00C21FFE" w:rsidR="00AD51A7" w:rsidRDefault="008777C4">
      <w:pPr>
        <w:rPr/>
      </w:pPr>
      <w:r w:rsidRPr="&lt;w:rPr xmlns:w=&quot;http://schemas.openxmlformats.org/wordprocessingml/2006/main&quot;&gt;&lt;w:lang w:val=&quot;es-ES_tradnl&quot; /&gt;&lt;/w:rPr&gt;">
        <w:rPr/>
        <w:t xml:space="preserve">inadmitir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