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19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11 de noviembre de 2002, el Procurador de los Tribunales don Álvaro Arana Moro, en nombre y representación de don José Antonio Macias Cantero, interpuso recurso de amparo contra la Sentencia de la Sección Primera de la Audiencia Provincial de Cáceres de 17 de octubre de 2002, por la que se confirmaba en apelación la Sentencia del Juzgado de lo Penal núm.1 de Plasencia, de 30 de mayo de 2002, dictada en el procedimiento seguido contra el recurrente por delito de robo con fuerza en las cosas. En la demanda de amparo se solicitaba, mediante otrosí, la suspensión de la pena impuesta hasta tanto no se resolviera el presente recurso de amparo, dado que, habida cuenta de su corta extensión, la no suspensión de la misma, haría perder al recurso su finalidad produciendo al demandante de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a) Con fecha de 30 de mayo de 2002, el Juzgado de lo Penal núm.1 de Plasencia dictó una Sentencia en la que condenaba al demandante de amparo, como autor responsable de un delito de robo con fuerza en las cosas, a la pena de un año y diez meses de prisión, con la accesoria de inhabilitación especial para el derecho de sufragio pasivo durante el tiempo de la condena, así como al pago, conjunto y solidario con los otros dos condenados, a la entidad perjudicada de 2248,99 euros en concepto de indemnización por los daños causados, y de 150,25 euros por el dinero sustraído, en ambos casos con sus correspondientes intereses legales, y al pago del tercio de las costas procesales. </w:t>
      </w:r>
    </w:p>
    <w:p w:rsidRPr="00C21FFE" w:rsidR="00AD51A7" w:rsidRDefault="008777C4">
      <w:pPr>
        <w:rPr/>
      </w:pPr>
      <w:r w:rsidRPr="&lt;w:rPr xmlns:w=&quot;http://schemas.openxmlformats.org/wordprocessingml/2006/main&quot;&gt;&lt;w:lang w:val=&quot;es-ES_tradnl&quot; /&gt;&lt;/w:rPr&gt;">
        <w:rPr/>
        <w:t xml:space="preserve">b) Presentado recurso de apelación contra la anterior resolución, fue confirmada en todos sus extremos por Sentencia de la Sección Primera de la Audiencia Provincial de Cáceres de 17 de octubre de 2002, notificada a la representación del recurrente al día siguiente. </w:t>
      </w:r>
    </w:p>
    <w:p w:rsidRPr="00C21FFE" w:rsidR="00AD51A7" w:rsidRDefault="008777C4">
      <w:pPr>
        <w:rPr/>
      </w:pPr>
      <w:r w:rsidRPr="&lt;w:rPr xmlns:w=&quot;http://schemas.openxmlformats.org/wordprocessingml/2006/main&quot;&gt;&lt;w:lang w:val=&quot;es-ES_tradnl&quot; /&gt;&lt;/w:rPr&gt;">
        <w:rPr/>
        <w:t xml:space="preserve">Se alega en la demanda que la Sentencia dictada en apelación ha vulnerado el derecho del demandante de amparo a la presunción de inocencia, reconocido en el art. 24.2 CE. </w:t>
      </w:r>
    </w:p>
    <w:p w:rsidRPr="00C21FFE" w:rsidR="00AD51A7" w:rsidRDefault="008777C4">
      <w:pPr>
        <w:rPr/>
      </w:pPr>
      <w:r w:rsidRPr="&lt;w:rPr xmlns:w=&quot;http://schemas.openxmlformats.org/wordprocessingml/2006/main&quot;&gt;&lt;w:lang w:val=&quot;es-ES_tradnl&quot; /&gt;&lt;/w:rPr&gt;">
        <w:rPr/>
        <w:t xml:space="preserve">En apoyo de dicha pretendida vulneración, se argumenta que no hubo en el proceso prueba de cargo suficiente en la que basar su condena como autor del robo con fuerza en las cosas que tuvo lugar en una gasolinera. A este respecto, se señala en primer lugar que no hubo prueba directa de que el recurrente fuera una de las tres personas que perpetraron el mencionado hecho, pues si bien la policía habría identificado el vehículo en el que huyeron los autores del mismo, no pudo proceder in situ a la identificación de sus ocupantes. Posteriormente, al localizar el coche en un hotel de cercanías, tampoco pudieron proceder a la detención de quienes en él nuevamente escaparon, limitándose a comprobar que se trataba de tres personas. En la declaración que dichos policías prestaron con todas las garantías en el acto del juicio oral, manifestaron expresamente que en ningún momento habían conseguido identificar al demandante de amparo como autor de los hechos. La condena se habría basado, por consiguiente, en meras sospechas o conjeturas a las que no cabría otorgar validez como prueba indiciaria. Pues, de una parte, en la Sentencia dictada en instancia se afirma que “es su propia negativa y la manera de defenderse la que nos lleva a la conclusión de que son los autores de los hechos”; y, de otra parte, se tienen en cuenta los siguientes elementos a los que se considera “indicios” de su culpabilidad en relación con el hecho enjuiciado: 1) que una semana antes había sido visto como pasajero del vehículo más tarde identificado como aquél en el que huyeron los autores del robo; 2) que tenía antecedentes penales comunes con los otros dos implicados; y 3) que la policía de Badajoz les tenía catalogados como banda. Pues bien: el primero de dichos “supuestos indicios” no sería relevante puesto que ocupar como pasajero un vehículo que una semana más tarde es utilizado para la comisión de un robo no puede implicar una presunción de que también se era pasajero del mismo el día y en el momento en que tuvo lugar el robo. Tampoco el segundo de los apuntados podría ser calificado de verdadero “indicio” pues una cosa es tener antecedentes penales por motivo de un hecho delictivo cometido en unión de los otros dos condenados y otra, bien distinta, es deducir de ello que siempre que una de esas dos otras personas –o ambas- cometan un delito necesariamente habrá de ser partícipe del mismo el recurrente. En cuanto a la consideración de que los tres encausados constituían una banda, no pasaría de ser una conjetura y ni tan siquiera sería un dato declarado probado en la Sentencia al no haber sido sometido a contradicción el mencionado informe de la policía local de Badajoz.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marzo de 2004,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en este Tribunal con fecha de 30 de marzo de 2004 en el que, de conformidad con la reiterada doctrina dictada al respecto por este Tribunal, consideraba procedente la suspensión, de la ejecución de la pena privativa de libertad impuesta al demandante de amparo, en atención a su corta duración (un año y diez meses), así como de la accesoria de inhabilitación especial para el derecho de sufragio pasivo durante el tiempo de la condena, no debiendo alcanzar tal efecto al resto de los pronunciamientos contenidos en la sentencia dado que, al ser de contenido económico, su no suspensión no ocasionaría perjuicios de imposible reparación.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general reseñada al caso presente conduce a acordar la suspensión interesada en lo relativo a la pena privativa de libertad dado que, de no suspenderse, podría ocasionársele un perjuicio irreparable toda vez que, como ya hemos declarado en anteriores ocasiones (por todas: AATC 269/1998, de 26 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suspensión de la pena privativa de libertad conlleva asimismo la de la pena accesoria de suspensión del derecho de sufragio pasivo durante el tiempo de la condena, por seguir dicha pena la suerte de la principal a la que acompaña y no apreciarse que la suspensión de su ejecución pueda afectar a los derechos de terceros (AATC 131/2001, de 22 de mayo y 151/2001, de 18 de junio, entre otros muchos). No procede, en cambio, la suspensión de la ejecución de la condena en lo relativo a la responsabilidad civil y al pago de las costas dado el carácter reversible de ambos pronunciamientos.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Conceder la suspensión solicitada en lo que a la pena privativa de libertad y a la accesoria de inhabilitación especial para el ejercicio del derecho de sufragio pasivo se refiere</w:t>
      </w:r>
    </w:p>
    <w:p w:rsidRPr="" w:rsidR="00AD51A7" w:rsidRDefault="008777C4">
      <w:pPr>
        <w:rPr/>
      </w:pPr>
      <w:r w:rsidRPr="&lt;w:rPr xmlns:w=&quot;http://schemas.openxmlformats.org/wordprocessingml/2006/main&quot;&gt;&lt;w:szCs w:val=&quot;24&quot; /&gt;&lt;/w:rPr&gt;">
        <w:rPr/>
        <w:t xml:space="preserve">2º Denegar la suspensión de la ejecución de la condena al pago de la responsabilidad civil y de las costas procesales.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