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19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3 de abril de 2003 la Procuradora de los Tribunales doña Blanca Berriatúa Horta, en nombre de doña María Eugenia García Chazarra, formuló demanda de amparo constitucional contra la Sentencia de 5 de marzo de 2003 dictada por la Audiencia Provincial de Alicante (sede en Elche) en recurso de apelación contra Sentencia dictada por el Juzgado de Instrucción núm. 6 de Torrevieja en juicio de faltas núm. 52-2003.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demanda de amparo son, sucintamente expuestos, los siguientes: Como consecuencia de la denuncia formulada por dos policías locales se siguió juicio de faltas contra la demandante de amparo y su hermano. Celebrado el juicio oral el Juez de Instrucción condenó al hermano de la demandante como autor de una falta continuada de desobediencia a agentes de la autoridad y absolvió a la demandante de amparo por entender que su conducta no podía ser calificada de desobediencia, sino de coacciones. Ahora bien, no habiéndose formulado acusación por falta de coacciones, y no existiendo homogeneidad entre las infracciones penales, procedía la absolución por aplicación del principio acusatorio, que también rige en el juicio de faltas. La Sentencia fue apelada por el hermano de la demandante (en cuanto a su condena) y por los dos policías locales en lo relativo de la absolución de la demandante de amparo, respecto de la cual solicitaron que fuera condenada como autora de una falta de coacciones asumiendo la calificación jurídica efectuada por el Juez de Instrucción. El Juzgado dio traslado a las demás partes de los escritos de apelación y se formularon los correlativos escritos de impugnación. Cuando se dio traslado de los recursos formulados al Ministerio público éste interesó la desestimación del recurso de apelación deducido por el hermano, pero, en cambio, se adhirió al recurso de apelación de los policías locales y solicitó la condena de la demandante como autora de una falta de desobediencia (art. 634 CC) en los mismos términos en que había sido condenado el hermano. Sin dar traslado de este escrito a ninguna de las partes se remitieron los autos a la Audiencia, la cual, sin celebrar vista, dictó Sentencia condenando a la demandante por una falta de desobediencia a agentes de la autoridad, tal como había interesado el Fiscal, imponiendo una pena de veinte días a razón de seis euros diarios.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queja sustancial que fundamenta la demanda de amparo se puede sintetizar en la posición de indefensión en que se colocó a la demandante de amparo cuando fue condenada merced a un recurso de apelación adhesivo del Ministerio público del que no tuvo conocimiento, lo que le impidió contradecir la acusación que se formulaba en la segunda instancia y vulneró su derecho a conocer la acusación y a un juicio con todas las garantías (art. 24 CE). Por otrosí se solicita la suspensión de la ejecución de la Sentencia aduciendo que, aun cuando la pena impuesta es pecuniaria y de una cuantía no muy elevada, la ejecución sí tendría “los consiguientes efectos dentro del ámbito administrativo municipal, en orden al puesto representativo que ocupa”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tres de junio de 2004, la Sala,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demandante de amparo formuló alegaciones el 14 de junio de 2004, reiterando la solicitud de suspensión de la ejecución y razonando a tal efecto que, aun cuando la pena impuesta sea de multa, su ejecución supone un descrédito para su persona si se tiene en cuenta que ostentó el cargo de Concejal del Ayuntamiento en la anterior legislatura.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público, mediante escrito registrado el 16 de junio de 2004, mostró su parecer contrario a la suspensión. Tras recoger la doctrina constitucional aplicable al caso razona que, al tratarse de una pena económica fácilmente reparable en el supuesto de estimarse el amparo, no es procedente la suspensión, sin que pueda atenderse a tal efecto al aducido daño moral que ocasionaría a la demandante la condena en relación al cargo político que ostentaba.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  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 Más en concreto, en cuanto a la ejecución de las sentencias penales que condenan al pago de una multa, nuestra doctrina viene señalando (como se recuerda en los AATC 135/1999, de 31 de mayo, FJ 3, 83/2001, de 23 de abril, FJ 2 y 261/2001, de 15 de octubre, FJ 4) que la ejecución del pago de la multa no lleva consigo, como regla, la producción de perjuicios irreparables para el condenado a su cumplimiento, de tal manera que la ejecución de la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las anteriores consideraciones conducen a denegar la suspensión de la pena de multa impuesta, pues la escasa cuantía de la misma (treinta días de arresto a razón de seis euros diarios) no permite separarse del criterio general contrario a la suspensión de este tipo de pronunciamientos judiciales, como tampoco el aducido descrédito que en su consideración pública pudiera tener la condena impuesta, pues, además de no ser tal alegación atendible, dicho descrédito derivaría del hecho mismo de la condena y no del cumplimiento de la pena pecuniaria impuesta.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diecinueve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