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abril de 2002 tuvo entrada en el Registro General de este Tribunal el escrito de la Sección Octava de la Audiencia Provincial de Madrid al que se acompaña el testimonio de los autos núm. 429-2001, del rollo de apelación núm. 597-2001, y el Auto de 7 de marzo de 2002 por el que se acuerda plantear la cuestión de inconstitucionalidad del párrafo segundo de la disposición transitoria tercera de la Ley 1/2000, de enjuiciamiento civil, en relación con el principio de seguridad jurídica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a) Durante la vigencia de la derogada Ley de enjuiciamiento civil de 1881, en un proceso de menor cuantía, el Juzgado de Primera Instancia núm. 36 de Madrid dictó Sentencia de 14 de marzo de 1998 por la que estimaba la demanda de nulidad del contrato de compraventa de un inmueble y la indemnización por los daños y perjuicios padecidos por la demandante, doña María Concepción Hernando Gutiérrez, contra el demandado, Gestiones y Desarrollos Patrimoniales, S.A.   La parte demandada interpuso recurso de apelación con base en la mencionada ley procesal de 1881 contra la citada sentencia, que fue admitido a trámite. La parte apelada se opuso al recurso sin solicitar la ejecución provisional de la sentencia impugnada. Conforme a la antigua legislación procesal civil, si la parte apelada no instaba la ejecución provisional en el plazo preclusivo de seis días previsto en el art. 385.IV LEC de 1881, se admitía la apelación en doble efecto (por lo que la sentencia impugnada devenía provisionalmente inejecutable, art. 387 LEC de 1881), es decir, se suspendía la ejecución de la sentencia apelada hasta que el Tribunal superior resolviera la apelación interpuesta (art. 388 LEC de 1881).   b) Una vez vigente la LEC de 2000, la parte apelada solicitó, mediante escrito de 17 de mayo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Esta petición fue desestimada mediante Auto dictado por el Juzgado de Primera Instancia núm. 36 de Madrid, de 30 de mayo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Pr="00C21FFE" w:rsidR="00AD51A7" w:rsidRDefault="008777C4">
      <w:pPr>
        <w:rPr/>
      </w:pPr>
      <w:r w:rsidRPr="&lt;w:rPr xmlns:w=&quot;http://schemas.openxmlformats.org/wordprocessingml/2006/main&quot;&gt;&lt;w:lang w:val=&quot;es-ES_tradnl&quot; /&gt;&lt;/w:rPr&gt;">
        <w:rPr/>
        <w:t xml:space="preserve">c) El demandante que instó la ejecución provisional preparó e interpuso recurso de apelación contra el citado auto mediante los respectivos escritos de 7 y 27 de junio de 2001. Estando los autos a la espera de resolverse la apelación por la Sección Octava de la Audiencia Provincial de Madrid, ésta dictó Providencia de 20 de diciembre de 2001 por la suspendía el procedimiento hasta que se decidiera otro recurso distinto, el núm. 448-2001, en el que se había abierto el trámite de audiencia a las partes y al Fiscal respecto de la posibilidad de plantear la cuestión de inconstitucionalidad del párrafo segundo de la disposición transitoria tercera LEC. Esta suspensión fue levantada mediante providencia de 15 de enero de 2002 en la que, además, se emplazaba a las partes y al Ministerio Fiscal para que informaran acerca de la procedencia de plantear la presente cuestión de inconstitucionalidad. Sólo informaron el apelante y el Ministerio Fiscal, oponiéndose ambos al planteamiento de esta cuestión por considerarla un problema interpretativo de la legalidad ordinaria.   La Sección Octava de la Audiencia Provincial de Madrid resolvió mediante Auto de 7 de marzo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En este sentido recuerda que, de conformidad con la LEC 1881, las sentencias recurridas en apelación respecto de las cuales la parte apelada no solicitó la ejecución provisional (como sucede en el presente caso) o, habiéndola solicitado, no prestó la fianza judicialmente requerida,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segundo LEC 2000), lo que supondría tener que revocar el auto dictado por el Juzgado a quo y ordenar el despacho de la ejecución provisional. Esta resolución “puede producir consecuencias económicas desastrosas y, a veces irreversibles, aunque la sentencia, cumplida provisionalmente, sea después revocada”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abril de 2002, la Sección Cuarta de este Tribunal acordó, a los efectos del art. 37.1 LOTC, oír al Fiscal General del Estado para que alegara lo que considerara conveniente sobre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Fiscal General del Estado presentó escrito de 16 de mayo de 2002 en el que solicitaba la inadmisión de la presente cuestión por concurrir esa causa de inadmisibilidad en términos prácticamente idénticos a los expuestos en otro escrito de la misma fecha, pero respecto de la cuestión de inconstitucionalidad 480-2002. Este escrito sólo difiere del anterior en el lógico examen de los hechos del caso, y en el previo planteamiento de un óbice procesal de los previstos en el art. 35.2 LOTC, concretamente “porque no aparece la resolución judicial acordando abrir el trámite y la que consta, que es la providencia acordando la suspensión de la tramitación del recurso, no cumple con tales exigencias ya que omite cualquier referencia al precepto constitucional que la norma cuestionada pudiera supuestamente vulnerar”. A continuación, y en el caso de que se desestimara la anterior objeción, se centra en la cuestión planteada de la vulneración del principio de seguridad jurídica, en su vertiente subjetiva, por la mencionada disposición transitoria tercera, párrafo segundo LEC. </w:t>
      </w:r>
    </w:p>
    <w:p w:rsidRPr="00C21FFE" w:rsidR="00AD51A7" w:rsidRDefault="008777C4">
      <w:pPr>
        <w:rPr/>
      </w:pPr>
      <w:r w:rsidRPr="&lt;w:rPr xmlns:w=&quot;http://schemas.openxmlformats.org/wordprocessingml/2006/main&quot;&gt;&lt;w:lang w:val=&quot;es-ES_tradnl&quot; /&gt;&lt;/w:rPr&gt;">
        <w:rPr/>
        <w:t xml:space="preserve">En este sentido, con cita de la STC 6/1983 sobre la interdicción de la retroactividad de las leyes sancionadoras desfavorables y restrictivas de derechos, y del ATC 165/2001, sobre el principio de la seguridad jurídica, en su doble vertiente subjetiva y objetiva, analiza acto seguido ambas vertientes. Respecto de la objetiva, considera que la norma cuestionada la respeta en tanto en cuanto se trata de una norma cierta, siendo igualmente claras las consecuencias jurídicas que de su aplicación se derivan. En relación con la vertiente subjetiva de la seguridad jurídica, comienza poniendo de manifiesto la ausencia de motivación del Tribunal de apelación que suscita esta cuestión de inconstitucionalidad (“no se hace mención alguna a la gestación de la nueva regulación o a la posible precipitación con la que se produjo su entrada en vigor”). Ello no obstante, el Fiscal General del Estado recuerda que la LEC 1/2000, publicada en el BOE el 8 de enero de 2000, tuvo una vacatio legis de un año (entró en vigor el 8 de enero de 2001), luego no se produjo la imprevisión alegada por la Audiencia Provincial, pues el demandado provisionalmente ejecutado dispuso de “más de dos años para adecuar su actuación económica a las nuevas previsiones legislativas”. Del mismo modo, también existió una justificación objetiva del cambio legal introducido por la LEC 1/2000, reflejada en su Exposición de Motivos y desarrollada en los preceptos por esta ley dedicados a la ejecución provisional (arts. 526 a 537). Por todo ello, postula la inadmisión de esta cuestión de inconstitucionalidad por incumplir el presupuesto procesal del art. 35 LOTC y “por no pertenecer la norma cuestionada a las categorías respecto de las cuales prohíbe el art. 9.3 CE su retroactividad como por no expresarse en la resolución judicial cuales son los fundamentos de la vulneración de dicho precepto constitucional por parte de la norma cuestionada y, en definitiva, porque el contenido de ésta es perfectamente compatible con las exigencias constitucionales derivadas de la certeza de las normas en su vertiente subjetiva”.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Octava de la Audiencia Provincial de Madrid plantea, mediante Auto de 7 de marzo de 2002, la cuestión de inconstitucionalidad del párrafo segundo de la disposición transitoria tercera de la Ley 1/2000, de 7 de enero, de enjuiciamiento civil. Entiende que vulnera el principio de seguridad jurídica, en su vertiente subjetiva, al permitir, de manera imprevisible, la ejecución provisional prevista en esa Ley respecto de las sentencias estimatorias impugnadas en apelación conforme a la anterior ordenación procesal. Según la derogada LEC, si el demandante no solicitaba la ejecución provisional, la sentencia apelada se convertía en provisionalmente inejecutable hasta que el Tribunal de apelación resolviera el recurso. Al romper el statu quo anterior, “quien pudo organizar su actuación patrimonial pensando en la inexigibilidad temporal de una prestación, ve cómo su seguridad queda rota con el cambio legislativo, que convirtió en inmediatamente exigible aquella prestación y alteró las previsiones del litigante afectado”.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interesa, por su parte, la inadmisión de la presente cuestión de inconstitucionalidad por el incumplimiento de los presupuestos procesales previstos en el art.  35.2 LOTC, en la medida en que el órgano judicial no ha explicitado a las partes y al Ministerio Fiscal los preceptos constitucionales que considera infringidos por 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para rechazar, en trámite de admisión, mediante auto y sin otra audiencia que la del Fiscal General del Estado, la cuestión de inconstitucionalidad cuando se incumplen sus presupuestos procesales. Entre éstos debe incluirse el trámite de audiencia a las partes y del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resolución judicial de tanta entidad como es la de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14 de noviembre, FJ 2; 199/2001, de 4 de julio, FJ 1; 102/2003, de 25 de marzo, FJ 2; 18/2003, de 3 de junio, FJ 2; 225/2003, de 1 de julio, FJ 2; 226/2003, de 1 de julio, FJ 2; y 367/2003, de 13 de noviembre, FJ 2, entre los últimos).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lo que determina la inadmisión de la cuestión planteada. En efecto, en las actuaciones remitidas se observa que el Tribunal a quo, tanto al dictar la primera providencia de 20 de diciembre de 2001, como en la segunda de 15 de enero de 2002, omitió mencionar los preceptos constitucionales que entendía vulnerados y sin contener razonamiento alguno que permitiese identificar cuál era la duda de constitucionalidad que albergaba el órgano judicial respecto de aquél precepto legal, lo que, como apunta el Fiscal General del Estado en sus alegaciones, ha provocado que el demandante tuviera que adivinar cuáles podrían ser las dudas concretas a las que no se refería el Tribunal de apelación.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permita conocer la opinión de los interesados para facilitar su reflexión sobre la conveniencia de plantear la cuestión de inconstitucionalidad, resulta ineludible que aquél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133/2002, de 16 de junio, FJ 2; 102/2003, de 25 de marzo, FJ 2; 189/2003, de 3 de junio, FJ 2; 225/2003, de 1 de julio, FJ 2; 226/2003, de 1 de julio, FJ 2; y 227/2003, de 1 de julio,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puesto que en este caso el órgano judicial no ha tenido en consideración estas exigencias y la audiencia de las partes y del Ministerio Fiscal no se ha realizado en los términos que reclama el art. 35.2 LOTC, debemos concluir que no se han cumplido los presupuesto procesales exigidos por el art. 37.1 LOTC para que proceda la admisión a trámite de la cuestión, lo que determina su inadmisión. Todo ello sin perjuicio de señalar que por Auto de esta misma fecha este Tribunal ha inadmitido la cuestión de inconstitucionalidad 480-2002, por ser notoriamente infundada, que es muy similar a la duda planteada por el mismo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1922-2002 planteada por la Sección Octava de la Audiencia Provincial de Madrid, en autos 597-2001.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