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27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13 de mayo de 2003, doña Doris Paya Meillón, representada por la Procuradora de los Tribunales doña Isabel Juliá Corujo, interpuso recurso de amparo contra el Auto de 9 de abril de 2003, dictado por la Sala de lo Penal del Tribunal Supremo, que resolvió el incidente de tasación de costas promovido en el recurso de casación núm. 312-2001.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Procuradora Sra. Juliá Corujo, por escrito presentado el 23 de enero de 2004, estando el amparo pendiente de resolver sobre su admisión o inadmisión, interesa se le tenga por desistida del recurso interpuesto, al haber quedado la recurrente de amparo satisfecha con la resolución dictada por la Sala de lo Penal del Tribunal Supremo el 3 de octubre de 2003 en la nulidad de actuaciones planteada contra el Auto de 9 de abril de 2003, retrotrayendo el incidente de tasación de costas al momento procesal anterior al de dictarse el Auto recurrido en amparo, lo que ratifica con su firma el Letrado director.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28 de enero de 2004 se acordó remitir comunicación al Juzgado de Primera Instancia e Instrucción Decano de Totana para que la recurrente de amparo ratificara el escrito de desistimiento presentado por su representación procesal, lo que no pudo llevarse a efecto al ser desconocida en el domicilio que consta en el poder de representación procesal, y no haber facilitado la Procuradora Sra. Juliá Corujo un domicilio de su patrocinada, sino únicamente un apartado de correos.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junio de 2004, la Sección Primera acuerda conceder al Ministerio Fiscal y a la mencionada Procuradora el plazo de diez días para que aleguen lo que estimen oportuno sobre la posible carencia sobrevenida de objeto de la demanda de amparo, a la vista del escrito de 23 de enero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dictamen que tuvo entrada en el Tribunal el 15 de junio siguiente, considera que procede acordar el archivo de las actuaciones por carencia sobrevenida de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desaparición sobrevenida del objeto del proceso, aún cuando no contemplada expresamente en el art. 86.1 LOTC, ha sido admitida por este Tribunal como forma de terminación de los distintos procesos constitucionales (AATC 282/2003, de 15 de septiembre, y 30/2004, de 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anteriormente expuesto se desprende que el presente recurso de amparo carece de objeto, pues ha desaparecido de manera sobrevenida a la presentación de la demanda de amparo, como consecuencia de la actuación de la Sala de lo Penal del Tribunal Supremo al dictar el Auto de 3 de octubre de 2003, la posible vulneración de los derechos fundamentales invocados al estimar el incidente de nulidad de actuaciones promovido, dejando sin efecto el Auto contra el que se dirigía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por desaparición del objeto el recurso de amparo núm. 3149-2003.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