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340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13 de septiembre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27 de junio de 2003, procedente del Juzgado de guardia de Madrid, el Procurador de los Tribunales don José Ángel Donaire Gómez, en representación de don Argelio Lázaro Laguardia, formuló demanda de amparo constitucional contra el Auto núm. 67/2003, de 23 de mayo de 2003, del Pleno de la Sala de lo Penal de la Audiencia Nacional, dictado en el proceso de extradición núm. 43-2002, del Juzgado Central de Instrucción núm. 6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EEUU solicitaron la extradición del demandante de amparo por haber sido condenado por un delito de tráfico de drogas, así como para ser juzgado por un delito de desobediencia por incomparecencia a los llamamientos judiciales, extradición que fue concedida por la Audiencia Nacional y luego por el Pleno de la Sala de lo Penal de dicho Tribunal resolviendo recurso de súplica oportunamente deducido.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aduce en primer lugar la vulneración del derecho a la tutela judicial efectiva y del principio de legalidad (arts. 24.1 y 25.1 CE), por cuanto el delito para el que se ha solicitado la extradición habría prescrito en España, pues, aun contando con que fuese aplicable la agravación de notoria importancia, habrían transcurrido los diez años de prescripción que corresponden a una pena no superior a prisión mayor según el Código penal de 1973, aplicable en razón de la fecha de los hechos. Entiende que ha de estarse al plazo de prescripción del delito y no al de la pena porque fue juzgado en rebeldía y, por ello, la Sentencia condenatoria no es firme, al tener derecho, según el ordenamiento procesal del estado requirente, a un nuevo juicio. En segundo término el demandante de amparo alega que no procede su entrega porque adquirió la nacionalidad española, y la postura de la Audiencia Nacional ha sido siempre la de negar la extradición de los nacionales, conforme al art. 3.1 de la Ley de extradición pasiva. De otra parte considera que no está justificada la apreciación de fraude en su adquisición de la nacionalidad española, pues cuando la obtuvo llevaba ya mucho tiempo residiendo en España, donde, por otra parte, tiene arraigo suficiente como para denegar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tres de junio de 2004 la Sección Cuarta de este Tribunal acordó, de conformidad con lo dispuesto en el art. 50.3 LOTC, conceder al demandante de amparo y al Ministerio público el plazo común de diez días para que formulasen, con las aportaciones documentales que procedieran,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formuló alegaciones mediante escrito presentado el 29 de junio de 2004, interesando en ellas la inadmisión de la demanda por carecer manifiestamente de contenido constitucional. Tras repasar los principales hitos del proceso extradicional y de las razones aducidas por el demandante aborda la queja relativa a la prescripción del delito mediante la cita, y la reproducción parcial, de la doctrina constitucional que somete el enjuiciamiento de la aplicación judicial del instituto de la prescripción al canon del art. 24.1 CE, esto es, a la apreciación de la existencia en el caso de una respuesta irrazonable, arbitraria, o incursa en error patente. Analiza así la argumentación vertida por los órganos judiciales en relación a esta cuestión, sobre la que luego seremos más explícitos, y concluye en la superación del canon de control de constitucionalidad a que acabamos de referirnos. Adicionalmente aborda la cuestión de si se vulnera o no el principio de legalidad y se causa o no indefensión por no denegar la extradición a quien goza de la nacionalidad española. Recuerda a tal efecto la doctrina sentada por este Tribunal en cuanto a la extradición de nacionales (SSTC 87/2000 y 102/2000), según la cual habrá de utilizarse un canon de control reforzado al estar en juego derechos fundamentales sustantivos tales como la libertad (art. 17 CE) y la libertad de residencia y de entrada y salida del territorio del Estado (art. 19 CE). Razona que, al estar establecido el sistema de fuentes en el art. 13.3 CE, y no tener rango constitucional sino legal la prohibición de entrega de los nacionales, y al resultar expresamente prevista en un tratado la entrega de nacionales, la interpretación judicial favorable a la entrega no puede tildarse de arbitraria o irrazonable, pues las resoluciones judiciales contienen un pormenorizado análisis de las circunstancias concurrentes y de la normativa aplicable, discrepando el demandante de la valoración que se ha efectuado de sus circunstancias personales hasta concluir en el carácter fraudulento de la adquisición de la nacionalidad.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la audiencia del Ministerio público hemos de confirmar nuestro inicial criterio acerca de la carencia manifiesta de contenido constitucional de la demanda.  En efecto, la demanda de amparo trata de rebatir la argumentación del Auto recurrido en cuanto a la aplicación de aspectos de legalidad ordinaria, como la posibilidad de entrega de los nacionales, o de pura apreciación de hechos tales como la existencia de arraigo o de fraude en la adquisición de la nacionalidad, pero no conecta tales pretendidas vulneraciones de la legalidad ordinaria con la vulneración de derecho fundamental alguno, de suerte que el canon de enjuiciamiento al que ha de someterse la resolución judicial impugnada habrá de ser el de la exigencia de motivación e interdicción de la arbitrariedad y error patente. Pues bien, las resoluciones judiciales recurridas razonan que no existe en el art. 13 CE (derecho por otra parte no amparable) una prohibición de entrega de los nacionales, sino que tal prohibición tiene origen legal (art. 3.1 Ley de extradición pasiva) en defecto de convenio de extradición, convenio que existe con los EEUU y que prevé expresamente la posibilidad de entrega de los nacionales. No está de más recordar ahora que esta forma de razonar ha sido expresamente admitida como constitucionalmente respetuosa con el derecho aducido en resoluciones como la STC 102/2000, de 10 de abril, FJ 8, a la que alude también el Ministerio Fiscal. A lo anterior los órganos judiciales añaden las razones por las que, aun siendo factible tal negativa en aplicación del convenio con el Estado requirente, no se entiende justificada en este caso (total garantía de nuevo enjuiciamiento a presencia del demandante, inexistencia de arraigo, uso fraudulento de la nacionalidad española, conservación del vínculo con EEUU de donde los hijos del demandante son nacionales, utilización de documentación falsa, entre otros motivos), por lo que ninguna vulneración del derecho fundamental a la tutela judicial efectiva se ha producido al superarse el canon de enjuiciamiento antes 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se refiere a la alegación de prescripción, que el demandante de amparo vincula con el derecho fundamental a la legalidad penal (art. 25.1 CE), ha de señalarse que, si bien las resoluciones judiciales contienen una declaración genérica de que el plazo de prescripción no ha transcurrido, sin concretar cuál es tal plazo, también lo es que el demandante, para llegar a afirmar la procedencia de aplicar el plazo de diez años, silencia la concurrencia de la agravante de organización junto con la de notoria importancia de la sustancia intervenida, lo que hace que el plazo de prescripción legalmente previsto, en aplicación de las conocidas reglas penológicas a las que alude el Fiscal, sea de quince años y no de diez (como se sostiene en la demanda). Pero sobre todo ha de tenerse en cuenta que, tal como se razona en las resoluciones judiciales, a tenor de la norma convencional con el Estado requirente basta con que éste declare que según su legislación no se ha producido la prescripción para que no proceda la revisión de la prescripción según la legislación española, norma convencional que se impone como de prioritaria aplicación. En todo caso es doctrina constante de este Tribunal que la prescripción de los delitos es una cuestión de legalidad ordinaria que, en principio, resulta ajena a los derechos enunciados por el art. 24 CE. La STC 157/1990, FJ 5, ha consolidado el criterio, mantenido desde las iniciales SSTC 152/1987, 255/1988 y 83/1989, de que «la apreciación, en cada caso concreto, de la concurrencia o no de la prescripción como causa extintiva de la responsabilidad penal es una cuestión de mera legalidad que corresponde decidir a los Tribunales ordinarios y que carece de relevancia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