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5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mayo de 2002 tuvo entrada en el Registro General de este Tribunal el escrito de la Sección Octava de la Audiencia Provincial de Madrid al que se acompaña el testimonio de particulares del procedimiento ejecución de títulos judiciales núm. 587-2001 y del rollo de apelación núm. 803-2001, y el Auto de 11 de abril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Durante la vigencia de la derogada Ley de enjuiciamiento civil de 1881, el Juzgado de Primera Instancia núm. 36 de Madrid dictó Sentencia de 16 de junio de 1999 por la que estimaba la demanda de protección del derecho al honor interpuesta por doña Misericordia Ruiz Chávez contra doña Clara María Neila y “EL MUNDO UNIDAD EDITORIAL, S.A. y condenaba solidariamente a los demandados a pagar la suma de 1.500.000 pesetas a la actora y a la publicación de la sentencia en el mencionado diario. Los demandados interpusieron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Pr="00C21FFE" w:rsidR="00AD51A7" w:rsidRDefault="008777C4">
      <w:pPr>
        <w:rPr/>
      </w:pPr>
      <w:r w:rsidRPr="&lt;w:rPr xmlns:w=&quot;http://schemas.openxmlformats.org/wordprocessingml/2006/main&quot;&gt;&lt;w:lang w:val=&quot;es-ES_tradnl&quot; /&gt;&lt;/w:rPr&gt;">
        <w:rPr/>
        <w:t xml:space="preserve">b) Una vez vigente la LEC de 2000, la actora solicitó, mediante escrito de 20 de junio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Pr="00C21FFE" w:rsidR="00AD51A7" w:rsidRDefault="008777C4">
      <w:pPr>
        <w:rPr/>
      </w:pPr>
      <w:r w:rsidRPr="&lt;w:rPr xmlns:w=&quot;http://schemas.openxmlformats.org/wordprocessingml/2006/main&quot;&gt;&lt;w:lang w:val=&quot;es-ES_tradnl&quot; /&gt;&lt;/w:rPr&gt;">
        <w:rPr/>
        <w:t xml:space="preserve">Esta petición fue desestimada mediante Auto dictado por el Juzgado de Primera Instancia núm. 36 de Madrid, de 13 de julio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La demandante que instó la ejecución provisional preparó e interpuso recurso de apelación contra el citado auto mediante los respectivos escritos de 23 de julio y 27 de septiembre de 2001. Estando los autos a la espera de resolverse la apelación por la Sección Octava de la Audiencia Provincial de Madrid, ésta dictó providencia de 11 de febrero de 2002 por la que emplazaba “a la parte apelante, al Ilmo. Ministerio Fiscal, a Doña Clara María Neila y al EL MUNDO UNIDAD EDITORIAL, S.A” para que informaran acerca de la procedencia de plantear la presente cuestión de inconstitucionalidad. Solamente informaron el Fiscal y el apelado mediante los respectivos escritos de 21 y 22 de febrero de 2002, pronunciándose el primero en contra del planteamiento de esta cuestión, por considerarla un problema interpretativo de la legalidad ordinaria, y a favor el segundo, remitiéndose al contenido del auto impugnado en apelación </w:t>
      </w:r>
    </w:p>
    <w:p w:rsidRPr="00C21FFE" w:rsidR="00AD51A7" w:rsidRDefault="008777C4">
      <w:pPr>
        <w:rPr/>
      </w:pPr>
      <w:r w:rsidRPr="&lt;w:rPr xmlns:w=&quot;http://schemas.openxmlformats.org/wordprocessingml/2006/main&quot;&gt;&lt;w:lang w:val=&quot;es-ES_tradnl&quot; /&gt;&lt;/w:rPr&gt;">
        <w:rPr/>
        <w:t xml:space="preserve">La Sección Octava de la Audiencia Provincial de Madrid resolvió mediante Auto de 11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Pr="00C21FFE" w:rsidR="00AD51A7" w:rsidRDefault="008777C4">
      <w:pPr>
        <w:rPr/>
      </w:pPr>
      <w:r w:rsidRPr="&lt;w:rPr xmlns:w=&quot;http://schemas.openxmlformats.org/wordprocessingml/2006/main&quot;&gt;&lt;w:lang w:val=&quot;es-ES_tradnl&quot; /&gt;&lt;/w:rPr&gt;">
        <w:rP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2004,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fecha 30 de julio de 2004 en el que solicitaba la inadmisión de la presente cuestión por concurrir esa causa de inadmisibilidad, en términos semejantes a los expuestos en otros escritos todos ellos relativos al 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bien pone de manifiesto el Fiscal General del Estado, la cuestión de inconstitucionalidad planteada por la Sección Octava de la Audiencia Provincial de Madrid respecto del apartado segundo de la disposición transitoria tercera de la Ley</w:t>
      </w:r>
    </w:p>
    <w:p w:rsidRPr="00C21FFE" w:rsidR="00AD51A7" w:rsidRDefault="008777C4">
      <w:pPr>
        <w:rPr/>
      </w:pPr>
      <w:r w:rsidRPr="&lt;w:rPr xmlns:w=&quot;http://schemas.openxmlformats.org/wordprocessingml/2006/main&quot;&gt;&lt;w:lang w:val=&quot;es-ES_tradnl&quot; /&gt;&lt;/w:rPr&gt;">
        <w:rPr/>
        <w:t xml:space="preserve">1/2000, de 7 de enero, de enjuiciamiento civil, por posible vulneración del principio de seguridad jurídica, en su vertiente subjetiva, resulta idéntica a la cuestión de inconstitucionalidad núm. 480-2002, que fue inadmitida a trámite por Auto del Pleno</w:t>
      </w:r>
    </w:p>
    <w:p w:rsidRPr="00C21FFE" w:rsidR="00AD51A7" w:rsidRDefault="008777C4">
      <w:pPr>
        <w:rPr/>
      </w:pPr>
      <w:r w:rsidRPr="&lt;w:rPr xmlns:w=&quot;http://schemas.openxmlformats.org/wordprocessingml/2006/main&quot;&gt;&lt;w:lang w:val=&quot;es-ES_tradnl&quot; /&gt;&lt;/w:rPr&gt;">
        <w:rPr/>
        <w:t xml:space="preserve">de este Tribunal de 20 de julio de 2004. Procede, por tanto, tener por reproducidas en la cuestión que ahora nos ocupa los razonamientos jurídicos contenidos en el mencionado Auto y, en consecuencia, 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