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y la Sentencia dictados por la Sala de lo Contencioso-Administrativo del Tribunal Supremo de fecha, respectivamente, 9 de febrero de 2004 y 15 de abril de 2003. </w:t>
      </w:r>
    </w:p>
    <w:p w:rsidRPr="00C21FFE" w:rsidR="00AD51A7" w:rsidRDefault="008777C4">
      <w:pPr>
        <w:rPr/>
      </w:pPr>
      <w:r w:rsidRPr="&lt;w:rPr xmlns:w=&quot;http://schemas.openxmlformats.org/wordprocessingml/2006/main&quot;&gt;&lt;w:lang w:val=&quot;es-ES_tradnl&quot; /&gt;&lt;/w:rPr&gt;">
        <w:rPr/>
        <w:t xml:space="preserve">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y por don Ramón Rodríguez Arribas, Magistrados de esta Sala Segunda del Tribunal Constitucional, la Sala, en virtud de lo previsto en los arts. 80 LOTC y 221.4 LOPJ, estima justificada</w:t>
      </w:r>
    </w:p>
    <w:p w:rsidRPr="00C21FFE" w:rsidR="00AD51A7" w:rsidRDefault="008777C4">
      <w:pPr>
        <w:rPr/>
      </w:pPr>
      <w:r w:rsidRPr="&lt;w:rPr xmlns:w=&quot;http://schemas.openxmlformats.org/wordprocessingml/2006/main&quot;&gt;&lt;w:lang w:val=&quot;es-ES_tradnl&quot; /&gt;&lt;/w:rPr&gt;">
        <w:rPr/>
        <w:t xml:space="preserve">la causa de abstención formulada, puesto que los mencionados Magistrados han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los Excmos. Sres. Sala Sánchez y Rodríguez Arribas en el recurso de amparo con número de registro 2310-2004, apartándoles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