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marzo de 2002, el Letrado de la Generalidad de Cataluña, en la representación que legalmente ostenta, interpuso conflicto positivo de competencia contra los artículos 1.4, 3.2, 9, 10, 11 y 12 y disposición final primera, apartado 3, del Anexo III y Anexo V de la Orden del Ministerio de Trabajo y Asuntos Sociales de 30 de octubre de 2001, sobre subvenciones en materia de formación y empleo. </w:t>
      </w:r>
    </w:p>
    <w:p w:rsidRPr="00C21FFE" w:rsidR="00AD51A7" w:rsidRDefault="008777C4">
      <w:pPr>
        <w:rPr/>
      </w:pPr>
      <w:r w:rsidRPr="&lt;w:rPr xmlns:w=&quot;http://schemas.openxmlformats.org/wordprocessingml/2006/main&quot;&gt;&lt;w:lang w:val=&quot;es-ES_tradnl&quot; /&gt;&lt;/w:rPr&gt;">
        <w:rPr/>
        <w:t xml:space="preserve">Admitido a trámite el presente conflicto, por providencia de la Sección Tercera de 9 de abril de 2002, el Abogado del Estado formuló alegaciones con fecha 10 de mayo de 2002, solicitando que se dictase Sentencia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la Orden Ministerial de 18 de septiembre de 2003, que deroga la Orden de la que trae causa el conflicto y, en concreto, el contenido de su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30 de noviembre de 2004, comunica a este Tribunal que la derogación de la Orden impugnada supone la pérdida del objeto procesal y, en consecuencia, solicita la conclusión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diciembre de 2004, el Letrado de la Generalidad de Cataluña sostiene asimismo que se ha producido la pérdida de objeto del proceso y solicita que se declare la desaparición sobrevenida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conflicto positivo de competencia número 1328-2002, promovido por el Gobierno de la Generalidad de Cataluña, frente a los artículos 1.4, 3.2, 9, 10, 11 y 12 y disposición final primera, apartado 3, del Anexo III y Anexo V de la</w:t>
      </w:r>
    </w:p>
    <w:p w:rsidRPr="" w:rsidR="00AD51A7" w:rsidRDefault="008777C4">
      <w:pPr>
        <w:rPr/>
      </w:pPr>
      <w:r w:rsidRPr="&lt;w:rPr xmlns:w=&quot;http://schemas.openxmlformats.org/wordprocessingml/2006/main&quot;&gt;&lt;w:szCs w:val=&quot;24&quot; /&gt;&lt;/w:rPr&gt;">
        <w:rPr/>
        <w:t xml:space="preserve">Orden del Ministerio de Trabajo y Asuntos Sociales de 30 de octubre de 2001, sobre subvenciones en materia de formación y empleo.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