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mayo de 2001 el Abogado del Estado, en nombre del Presidente del Gobierno, presentó escrito de interposición de recurso de inconstitucionalidad contra el artículo único de la Ley de la Comunidad Autónoma de Aragón 1/2001, de 8 de febrero, de modificación de la Ley 11/1992, de 24 de diciembre, de ordenación del territorio.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5 de junio de 2001, las representaciones procesales del Gobierno y de las Cortes de Aragón formularon alegaciones, mediante escritos registrados los días 22 de junio y 4 de julio de 2001, suplicando que se dicte Sentencia en la que se declare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10 de noviembre de 2004 el Abogado del Estado presentó en este Tribunal un escrito en el que expuso que “debidamente autorizado en virtud de Acuerdo del Consejo de Ministros adoptado en su reunión de fecha 29 de octubre de 2004 y de otro de igual fecha del Excmo. Sr. Presidente del Gobierno”, presentaba, al amparo de lo establecido en el art. 86 LOTC en conexión con el art. 80 de la misma Ley, el desistimiento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Tercera acordó incorporar a los autos el escrito del Abogado del Estado y oír a las representaciones de las Cortes y del Gobierno de Aragón para que, en el plazo de diez días, expusieran lo que considerasen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octubre el Letrado del Gobierno de Aragón dirigió un escrito al Tribunal en el que manifiesta que nada tiene que oponer al desistimiento solicitado. Las Cortes de Aragón no formulan alegaciones, según comunicó su representación procesal en escrito registrado el día 3 de enero de 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Gobierno de la Nación y el Presidente del Gobierno, pide que se le tenga por desistido del presente recurso de inconstitucionalidad. El Letrado del Gobierno de Aragón no plantea objeción alguna al desistimiento formulado, no habiendo alegado la representación de las Cortes de Aragón,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 núm. 2636-2001, planteado en relación con el artículo único de la Ley de la Comunidad Autónoma de Aragón 1/2001, de 8 de febrero, de</w:t>
      </w:r>
    </w:p>
    <w:p w:rsidRPr="" w:rsidR="00AD51A7" w:rsidRDefault="008777C4">
      <w:pPr>
        <w:rPr/>
      </w:pPr>
      <w:r w:rsidRPr="&lt;w:rPr xmlns:w=&quot;http://schemas.openxmlformats.org/wordprocessingml/2006/main&quot;&gt;&lt;w:szCs w:val=&quot;24&quot; /&gt;&lt;/w:rPr&gt;">
        <w:rPr/>
        <w:t xml:space="preserve">modificación de la Ley 11/1992, de 24 de diciembre, de ordenación del territorio,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