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55</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 de febrero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17 de julio de 2001, el Abogado del Estado, en nombre del Presidente del Gobierno, presentó escrito de interposición de recurso de inconstitucionalidad contra la disposición adicional séptima de la Ley de las Cortes de Aragón 6/2001 de 17 de mayo, de ordenación y participación en la gestión del agua en Aragón. </w:t>
      </w:r>
    </w:p>
    <w:p w:rsidRPr="00C21FFE" w:rsidR="00AD51A7" w:rsidRDefault="008777C4">
      <w:pPr>
        <w:rPr/>
      </w:pPr>
      <w:r w:rsidRPr="&lt;w:rPr xmlns:w=&quot;http://schemas.openxmlformats.org/wordprocessingml/2006/main&quot;&gt;&lt;w:lang w:val=&quot;es-ES_tradnl&quot; /&gt;&lt;/w:rPr&gt;">
        <w:rPr/>
        <w:t xml:space="preserve">Admitido a trámite el conflicto por providencia de la Sección Tercera de 25 de julio de 2001, las representaciones procesales de las Cortes y del Gobierno de Aragón formularon alegaciones mediante escritos registrados los días 14 y 18 de septiembre de 2001, suplicando que se dicte Sentencia en la que se desestime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10 de noviembre de 2004, el Abogado presentó en este Tribunal un escrito en el que expuso que, debidamente autorizado en virtud de los acuerdos del Gobierno de la Nación y del Presidente del Gobierno de 29 de octubre de 2004, presentaba, al amparo de lo establecido en el art. 86 LOTC en conexión con el art. 80 de la misma Ley, el desistimiento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30 de noviembre de 2004, la Sección Cuarta acordó incorporar a los autos el escrito del Abogado del Estado y oír a las representaciones procesales de las Cortes y del Gobierno de Aragón para que, en el plazo de diez días, expusieran lo que consideran procedente sobre el desistimiento efectuado por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20 de diciembre de 2004, el Letrado del Gobierno de Aragón dirigió un escrito al Tribunal en el que se manifiesta que no se opone al desistimiento solicitado. Por su parte, la representación de las Cortes de Aragón comunica al Tribunal con fecha 3 de enero de 2005 que no formula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237/1992, de 15 de diciembre; AATC 33/1993, de 26 de enero;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interés constitucional que justifique la prosecución sin partes del proceso hasta su finalización por Sentencia (AATC, por todos, 33/1993, de 26 de enero; 173/1997, de 20 de mayo; 278/2001, de 30 de octubre; 129/2002, de 16 de julio; y 43/2004,</w:t>
      </w:r>
    </w:p>
    <w:p w:rsidRPr="00C21FFE" w:rsidR="00AD51A7" w:rsidRDefault="008777C4">
      <w:pPr>
        <w:rPr/>
      </w:pPr>
      <w:r w:rsidRPr="&lt;w:rPr xmlns:w=&quot;http://schemas.openxmlformats.org/wordprocessingml/2006/main&quot;&gt;&lt;w:lang w:val=&quot;es-ES_tradnl&quot; /&gt;&lt;/w:rPr&gt;">
        <w:rPr/>
        <w:t xml:space="preserve">de 10 de febrero).</w:t>
      </w:r>
    </w:p>
    <w:p w:rsidRPr="00C21FFE" w:rsidR="00AD51A7" w:rsidRDefault="008777C4">
      <w:pPr>
        <w:rPr/>
      </w:pPr>
      <w:r w:rsidRPr="&lt;w:rPr xmlns:w=&quot;http://schemas.openxmlformats.org/wordprocessingml/2006/main&quot;&gt;&lt;w:lang w:val=&quot;es-ES_tradnl&quot; /&gt;&lt;/w:rPr&gt;">
        <w:rPr/>
        <w:t xml:space="preserve">El Abogado del Estado, debidamente autorizado, según certificación de los Acuerdos adoptados al efecto por el Gobierno de la Nación y el Presidente del Gobierno, pide que se le tenga por desistido del presente recurso de inconstitucionalidad. El Letrado del Gobierno de Aragón no plantea objeción alguna al desistimiento formulado, no habiendo alegado la representación de las Cortes de Aragón,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del Estado en la representación que legalmente ostenta, del recurso de inconstitucional núm. 4108-2001, planteado en relación con la disposición adicional séptima de la Ley de las Cortes de Aragón 6/2001, de 17 de mayo, de</w:t>
      </w:r>
    </w:p>
    <w:p w:rsidRPr="" w:rsidR="00AD51A7" w:rsidRDefault="008777C4">
      <w:pPr>
        <w:rPr/>
      </w:pPr>
      <w:r w:rsidRPr="&lt;w:rPr xmlns:w=&quot;http://schemas.openxmlformats.org/wordprocessingml/2006/main&quot;&gt;&lt;w:szCs w:val=&quot;24&quot; /&gt;&lt;/w:rPr&gt;">
        <w:rPr/>
        <w:t xml:space="preserve">ordenación y participación en la gestión del agua en Aragón, declarándose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febrero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