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febrero de 2003, el Abogado del Estado, en nombre del Presidente del Gobierno, presentó escrito de interposición de recurso de inconstitucionalidad contra la disposición adicional quinta de la Ley de Andalucía 10/2002, de 21 de diciembre, por la que se aprueban normas en materia de tributos cedidos y otras medidas tributarias, administrativas y financieras.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Segunda de este Tribunal de 25 de marzo de 2003, las representaciones procesales del Parlamento y del Gobierno de la Junta de Andalucía formularon alegaciones mediante escritos registrados los días 11 y 16 de abril de 2003, respectivamente, suplicando que se dicte Sentencia en la que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 de diciembre de 2004, el Abogado del Estado presentó en este Tribunal un escrito en el que expuso que, debidamente autorizado en virtud de sendos Acuerdos del Gobierno de la Nación y del Presidente de Gobierno de 26 de noviembre de 2004, presentaba, al amparo de lo establecido en el art. 86 LOTC en conexión con el art. 80 de la misma Ley, el desistimiento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14 de diciembre de 2004, la Sección Primera de este Tribunal acordó incorporar a los autos el escrito del Abogado del Estado y oír a las representaciones del Parlamento y del Gobierno de la Junta de Andalucía para que, en el plazo de diez días, expongan lo que consideren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23 de diciembre de 2004, las presentaciones procesales del Parlamento y del Gobierno andaluces dirigieron escritos al Tribunal en que manifestaron que nada tienen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Gobierno de la Nación y el Presidente del Gobierno, pide que se le tenga por desistido del presente recurso de inconstitucionalidad. Las representaciones procesales del Parlamento y del Gobierno de la Junta de Andalucía no plantean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783-2003, planteado en relación con la disposición adicional quinta de la Ley de Andalucía 10/2002, de 21 de diciembre, por</w:t>
      </w:r>
    </w:p>
    <w:p w:rsidRPr="" w:rsidR="00AD51A7" w:rsidRDefault="008777C4">
      <w:pPr>
        <w:rPr/>
      </w:pPr>
      <w:r w:rsidRPr="&lt;w:rPr xmlns:w=&quot;http://schemas.openxmlformats.org/wordprocessingml/2006/main&quot;&gt;&lt;w:szCs w:val=&quot;24&quot; /&gt;&lt;/w:rPr&gt;">
        <w:rPr/>
        <w:t xml:space="preserve">la que se aprueban normas en materia de tributos cedidos y otras medidas tributarias, administrativas y financieras,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