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28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20 de febrero de 20045, el Procurador de los Tribunales don Francisco Velasco Muñoz, en nombre de doña María Dolores Lloret Morera y doña María Carmen Lloret Morera, formuló demanda de amparo contra la Sentencia de la Sala Civil y Penal del Tribunal Superior de Justicia de Cataluña, que desestima recurso de casación núm. 90/2003 contra la dictada por la Sección Primera de la Audiencia Provincial de Barcelona (rollo 1001-2000), por la vulneración del derecho fundamental a la igualdad ante la ley, sin que pueda prevalecer discriminación alguna por razón de nacimiento.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asunto trae causa de un testamento de 1927 en que el testador instituyó una sustitución fideicomisaria condicional, si sine liberis decceserit, a favor de sus hijos; primero a favor del primogénito, quien podría disponer libremente de sus bienes siempre que tuviera algún hijo o hija que hubiera llegado a la pubertad; en caso contrario, luego, sustituyéndole sucesivamente y con la misma condición, cada uno de los otros cuatro, para el caso de que el anterior fuera muriendo sin hijos; advirtiendo expresamente que si al tener efecto alguna de las tales instituciones hubiese fallecido el sustituto y dejado algún hijo legítimo que entonces o después hubiera llegado a la edad de testar, le habrían sucedido estos en el lugar de su padre premuerto. </w:t>
      </w:r>
    </w:p>
    <w:p w:rsidRPr="00C21FFE" w:rsidR="00AD51A7" w:rsidRDefault="008777C4">
      <w:pPr>
        <w:rPr/>
      </w:pPr>
      <w:r w:rsidRPr="&lt;w:rPr xmlns:w=&quot;http://schemas.openxmlformats.org/wordprocessingml/2006/main&quot;&gt;&lt;w:lang w:val=&quot;es-ES_tradnl&quot; /&gt;&lt;/w:rPr&gt;">
        <w:rPr/>
        <w:t xml:space="preserve">b) Fallecido el testador, los bienes transitaron al primer heredero, que falleció en 1997 sin hijos. El segundo heredero había fallecido anteriormente (1940), también sin hijos. El tercer llamado también había premuerto (1995), pero había dejado dos hijas, adoptivas, que ya habían llegado a la edad de testar, por lo que éstas acudieron ante Notario a otorgar escritura de aceptación y adjudicación de los bienes de la herencia. Presentada la escritura ante el Registro de la Propiedad, el Registrador denegó la inscripción alegando que no habían acreditado su condición de hijas legítimas (eran hijas adoptivas). Mientras tanto, el cuarto llamado procedió a inscribir a su favor los bienes fideicomitidos. </w:t>
      </w:r>
    </w:p>
    <w:p w:rsidRPr="00C21FFE" w:rsidR="00AD51A7" w:rsidRDefault="008777C4">
      <w:pPr>
        <w:rPr/>
      </w:pPr>
      <w:r w:rsidRPr="&lt;w:rPr xmlns:w=&quot;http://schemas.openxmlformats.org/wordprocessingml/2006/main&quot;&gt;&lt;w:lang w:val=&quot;es-ES_tradnl&quot; /&gt;&lt;/w:rPr&gt;">
        <w:rPr/>
        <w:t xml:space="preserve">c) Interpuesta demanda por las dos hijas adoptivas contra el cuarto llamado a la herencia, en ejercicio de acción declarativa de dominio por adquisición, en virtud de sucesión hereditaria, de bienes objeto de fideicomiso, fue desestimada en primera instancia y en apelación. Contra esta última sentencia interpusieron recurso de casación ante la Sala de lo Civil y Penal del Tribunal Superior de Justicia de Cataluña, que fue asimismo desestimado, con el argumento de que se trata de un caso de sucesión voluntaria, en que la voluntad del de cuius es la ley de la sucesión y, de acuerdo con la misma, la expresión hijos legítimos no comprende a los hijos adoptivos, porque no se contemplaba así en el momento de redactar el testamento ni en el de su fallecimiento.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consideran que, mientras la Sentencia del Tribunal Superior de Justicia declara que la expresión hijos legítimos contenida en el testamento del causante se ha de interpretar al tiempo del otorgamiento del testamento (1927), o al tiempo del fallecimiento del testador (1945), y tanto en una fecha como en otra, la expresión hijos legítimos no comprendía a los hijos adoptivos, realmente dicha tarea interpretativa ha de llevarse a cabo en 1997, tras la defunción sin hijos del anterior llamado a la sucesión, ya que fue en ese momento cuando entraron en la herencia las demandantes como sustitutas vulgares de su padre, y es en ese preciso momento y a la luz de la legislación vigente cuando se ha de examinar si se cumplen las condiciones establecidas en el testamento, por lo que la norma de interpretación ha de obtenerse de los preceptos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sendas providencias de fecha 27 de mayo de 2004, la Sección, tras admitir a trámite el presente recurso de amparo, acordó formar la oportuna pieza para la tramitación del incidente sobre suspensión y, conforme determina el art. 56 de la Ley Orgánica de este Tribunal, conceder un plazo de tres días al Fiscal y a las partes personadas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público, mediante escrito registrado el 19 de octubre de 2004, tras recoger la doctrina constitucional en materia de suspensión, alega que, teniendo en cuenta la naturaleza de la prestación, así como que las fincas en cuestión se encuentran inscritas en el Registro de la Propiedad, no debe olvidarse que la publicidad inherente a la anotación registral de la demanda de amparo impide que se consolide la situación jurídica que las demandantes de amparo temen que pueda ocurrir y que, al propio tiempo, dicha medida, como no presupone ni exige la suspensión de la ejecución de la resolución recurrida en amparo, su adopción, al tiempo que garantiza los eventuales derechos que se puedan reconocer a las demandantes de amparo, ningún perjuicio ocasiona a la parte que ha obtenido la Sentencia favorable, que no ve limitadas sus facultades de disposición sobre las fincas cuya titularidad les ha sido reconocida en la resolución recurrida en amparo, puesto que su eficacia se limita a reforzar la restituibilidad de la prestación a cuya realización han sido condenadas las demandantes de amparo, garantizando que sean las mismas fincas, y no su valoración económica, las que, en su caso, les sean devueltas, razón por la cual se considera procedente que se acuerde la referida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doña María Dolores Lloret Morera y doña María Carmen Lloret Morera, mediante escrito registrado ante este Tribunal en fecha 31 de enero de 2005, se reiteró en su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doña María Dolores Morera Camps, mediante escrito registrado ante este Tribunal en fecha 31 de enero de 2005, se adhirió a la petición de suspensión formulada por las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procesal de doña Lourdes y doña Montserrat Lloret Rodríguez, mediante escrito registrado ante este Tribunal en fecha 2 de febrero de 2005, se opuso a la petición de suspensión formulada por las demandantes de amparo, argumentando que lo que realmente pretende la contraparte es impedir el cumplimiento de lo dispuesto en el art. 745 LEC, lo cual no es de recibo dado el carácter imperativo de dicho precepto, que obliga al Juzgador a alzar de oficio las medidas cautelares adoptadas en un proceso una vez recaída sentencia firme absolutoria.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 Así,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situación planteada coincide con la que fue objeto del ATC 43/2001, de 26 de febrero. Como en aquel caso, las recurrentes circunscriben la solicitud de suspensión a que no se cancele la anotación en el Registro de la Propiedad de la demanda interpuesta en su día.</w:t>
      </w:r>
    </w:p>
    <w:p w:rsidRPr="00C21FFE" w:rsidR="00AD51A7" w:rsidRDefault="008777C4">
      <w:pPr>
        <w:rPr/>
      </w:pPr>
      <w:r w:rsidRPr="&lt;w:rPr xmlns:w=&quot;http://schemas.openxmlformats.org/wordprocessingml/2006/main&quot;&gt;&lt;w:lang w:val=&quot;es-ES_tradnl&quot; /&gt;&lt;/w:rPr&gt;">
        <w:rPr/>
        <w:t xml:space="preserve">La Sentencia objeto del recurso, que desestimó la demanda interpuesta por el recurrente, en la medida en que puso fin al proceso civil, determinó la extinción de todas las medidas cautelares, y entre ellas la que acordó la anotación de la demanda en el Registro. Por ello, si bien en la Sentencia del Tribunal Superior de Justicia nada se dice sobre la cancelación de la anotación preventiva de la demanda civil, desde el momento en que dicha resolución determinó la finalización o conclusión del proceso, la anotación perdió su razón de ser, por lo que, en cualquier momento, la parte demandada podrá pedir su cancelación a fin de que en el Registro se practique el oportuno asiento dejándola sin efecto.</w:t>
      </w:r>
    </w:p>
    <w:p w:rsidRPr="00C21FFE" w:rsidR="00AD51A7" w:rsidRDefault="008777C4">
      <w:pPr>
        <w:rPr/>
      </w:pPr>
      <w:r w:rsidRPr="&lt;w:rPr xmlns:w=&quot;http://schemas.openxmlformats.org/wordprocessingml/2006/main&quot;&gt;&lt;w:lang w:val=&quot;es-ES_tradnl&quot; /&gt;&lt;/w:rPr&gt;">
        <w:rPr/>
        <w:t xml:space="preserve">Planteada así la cuestión, es evidente, como ya decíamos en el citado ATC 43/2001, que la admisión a trámite del presente recurso de amparo abre un proceso que, en el caso de que se otorgase en su día el amparo, podría conducir a que la Sentencia de este Tribunal declarase la nulidad del acto o resoluciones judiciales que hayan impedido el pleno ejercicio y efectividad del derecho fundamental que se alega como vulnerado, adoptando las medidas necesarias para el restablecimiento del derecho lesionado.  De ello se sigue, que la Sentencia que pueda recaer en el presente recurso de amparo puede producir sobre las inscripciones y asientos regístrales de la finca litigiosa los mismos efectos de anulación o destructores de la fe pública registral que podría haber causado la Sentencia judicial recurrida, en el caso de que se hubiese estimado la demanda del ahora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ello, si bien no puede accederse a la solicitud de suspensión tal y como viene planteada por el recurrente, o sea no puede acordarse la suspensión de la ejecución de la Sentencia recurrida, procede tener en cuenta que si los adjudicatarios de las fincas que son objeto del pleito civil realizasen algún acto de disposición, los derechos de las recurrentes sobre el inmueble podrían verse afectados e, incluso de forma irreversible, si el que los adquiriese fuese un tercero protegido por la buena fe registral, por lo que la Sala decide, a fin de garantizar y preservar los derechos del recurrente, acordar la anotación preventiva de la demanda de amparo, medida cautelar que este Tribunal, de conformidad con el art. 56.1 LOTC, puede, adoptar de oficio o a instancia de parte, con fundamento en el art. 42.1. LH (AATC 81/1995, 114/1996, 164/1996, entre otros muchos).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atención a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Denegar la suspensión de la ejecución de la Sentencia dictada por la Sala de lo Civil y Penal del Tribunal Superior de Justicia de Cataluña, recaída en el rollo de casación núm. 90-2003.</w:t>
      </w:r>
    </w:p>
    <w:p w:rsidRPr="" w:rsidR="00AD51A7" w:rsidRDefault="008777C4">
      <w:pPr>
        <w:rPr/>
      </w:pPr>
      <w:r w:rsidRPr="&lt;w:rPr xmlns:w=&quot;http://schemas.openxmlformats.org/wordprocessingml/2006/main&quot;&gt;&lt;w:szCs w:val=&quot;24&quot; /&gt;&lt;/w:rPr&gt;">
        <w:rPr/>
        <w:t xml:space="preserve">2° Ordenar la anotación preventiva de la demanda de amparo en el Registro de la Propiedad en el que se hallan inscritas las fincas objeto del juicio de menor cuantía 174/99 del Juzgado de Primera Instancia núm. 2 de Vilafranca del Penedés, a cuyo efecto</w:t>
      </w:r>
    </w:p>
    <w:p w:rsidRPr="" w:rsidR="00AD51A7" w:rsidRDefault="008777C4">
      <w:pPr>
        <w:rPr/>
      </w:pPr>
      <w:r w:rsidRPr="&lt;w:rPr xmlns:w=&quot;http://schemas.openxmlformats.org/wordprocessingml/2006/main&quot;&gt;&lt;w:szCs w:val=&quot;24&quot; /&gt;&lt;/w:rPr&gt;">
        <w:rPr/>
        <w:t xml:space="preserve">el referido Juzgado adoptará las medidas pertinentes para que pueda practicarse el asiento registral.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veintiocho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