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13 de mayo de 2004, la Procuradora de los Tribunales doña Elena Muñoz González, en nombre y representación de don Vicente José Rodrigo Castelar y por don Bernardo Gil Bodón, interpuso recurso de amparo contra la Sentencia de la Sección Segunda de la Audiencia Provincial de Granada, de 11 de septiembre de 2002 (sumario núm. 2-2001), revocada parcialmente por la Sentencia núm. 281/2004 dictada por la Sala de lo Penal del Tribunal Supremo, en fecha 4 de marzo de 2004 (recurso de casación núm. 2753-2002), que condenó a los recurrentes como autores del delito contra la salud pública, concurriendo la circunstancia atenuante de drogadicción (art. 21.2 CP) a la pena, a cada uno de ellos, de cinco años y seis meses de prisión, accesorias legales y a la multa de 55.000 euros a cada uno. En la demanda de amparo se solicitaba, por otrosí digo, la suspensión de la ejecución de las resoluciones impugnadas hasta tanto no se resuelva el presente recurso de amparo, dado que su cumplimiento ocasionará necesariamente un perjuicio que haría perder al amparo solicitado su finalidad, porque la pérdida de la libertad es irreparable y no puede restituirse.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 que a este incidente interesa, en los siguientes hechos: </w:t>
      </w:r>
    </w:p>
    <w:p w:rsidRPr="00C21FFE" w:rsidR="00AD51A7" w:rsidRDefault="008777C4">
      <w:pPr>
        <w:rPr/>
      </w:pPr>
      <w:r w:rsidRPr="&lt;w:rPr xmlns:w=&quot;http://schemas.openxmlformats.org/wordprocessingml/2006/main&quot;&gt;&lt;w:lang w:val=&quot;es-ES_tradnl&quot; /&gt;&lt;/w:rPr&gt;">
        <w:rPr/>
        <w:t xml:space="preserve">a) Con fecha de 11 de septiembre de 2002, la Sección Segunda de la Audiencia Provincial de Granada dictó Sentencia en la que condenaba a los demandantes de amparo como autores de un delito contra la salud pública, con la concurrencia de la circunstancia atenuante de actuación a causa de su grave adición a las drogas, a las penas, a cada uno de ellos, de “prisión en cuantía de nueve años y seis meses, con la accesoria de inhabilitación especial para el derecho de sufragio pasivo durante el tiempo de la condena, a la multa en cuantía de 55.717 euros, sin responsabilidad personal subsidiaria en caso de impago, quedando decomisada la droga intervenida (948 gramos de cocaína, con una pureza del 88,5%), y al pago, por mitad de las costas procesales.” </w:t>
      </w:r>
    </w:p>
    <w:p w:rsidRPr="00C21FFE" w:rsidR="00AD51A7" w:rsidRDefault="008777C4">
      <w:pPr>
        <w:rPr/>
      </w:pPr>
      <w:r w:rsidRPr="&lt;w:rPr xmlns:w=&quot;http://schemas.openxmlformats.org/wordprocessingml/2006/main&quot;&gt;&lt;w:lang w:val=&quot;es-ES_tradnl&quot; /&gt;&lt;/w:rPr&gt;">
        <w:rPr/>
        <w:t xml:space="preserve">b) Los demandantes interpusieron recurso de casación contra la anterior resolución, que fue parcialmente estimado por la Sentencia de la Sala Segunda del Tribunal Supremo de 4 de marzo de 2004, en la que rebajaba la condena a cinco años y seis meses de prisión debido a que “en el juicio oral no se practicó la pericial que se había solicitado para la determinación de la pureza de la sustancia intervenida y que es relevante para la acreditación del tipo agravado de la notoria importancia, a partir de los 750 gramos de cocaína expresadas al 100 por 100 de su pureza... En el presente procedimiento, la defensa solicitó una nueva pericial para la acreditación de la pureza de la sustancia tóxica que era relevante a los efectos de la aplicación del tipo agravado por la notoria importancia. La ausencia de una actividad probatoria en la determinación de la pureza de la sustancia objeto del tráfico supone la falta de acreditación del presupuesto de la notoria importancia, art. 369.3 del CP, que será suprimido en la segunda sentencia, manteniendo la condena por el delito contra la salud pública de sustancias que causan grave daño a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que las resoluciones impugnadas han vulnerado los derechos de los solicitantes de amparo a la utilización de los medios de prueba pertinentes para su defensa (art. 24.2 CE) y, como consecuencia de ello, el derecho a la tutela judicial efectiva (art. 24.1 CE) y el derecho a la presunción de inocencia (art. 24.2 CE), debido a que los recurrentes impugnaron válidamente el informe pericial realizado en la fase de instrucción y solicitaron como contraprueba la práctica en el juicio oral de un dictamen pericial contradictorio con la finalidad de determinar si la sustancia intervenida era o no estupefaciente y, en caso positivo, el grado de pureza de la misma. Esta petición fue desestimada por el Tribunal de instancia, sin que la acusación solicitara la presencia del perito autor del dictamen sumarial en el juicio oral para su ratificación.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10 de febrero de 2005, la Sala Segunda acordó, respectivamente, admitir a trámite la presente demanda de amparo y formar la correspondiente pieza para la tramitación del incidente de suspensión de conformidad con lo solicitado por las partes actoras, concediendo un plazo común de tres días al Ministerio Fiscal y a los demandantes de amparo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evacuó el trámite de alegaciones mediante escrito de fecha 18 de febrero de 2005 en el que se remitía y ampliaba las alegaciones ya formuladas en la demanda de amparo sobre la procedencia de la suspensión de la ejecución de las resoluciones impugnadas solicitada, así como su comunicación al Tribunal encargado del cumplimiento de la condena ahora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idéntico trámite mediante escrito registrado en este Tribunal con fecha de 22 de febrero de 2005 en el que, de conformidad con la reiterada doctrina constitucional dictada al respecto (con cita del ATC 256/2003, F.F. 1 y 2), considera procedente la suspensión de la pena privativa de libertad, y de las penas accesorias impuestas, no así respecto de la obligación del pago de la multa y costas. El Fiscal alcanza esta conclusión tras analizar la duración de la pena privativa de libertad impuesta a los recurrentes (la califica de “mediana duración” pues aunque se trata de cinco años y seis meses los recurrentes ya han cumplido más de un año de prisión preventiva, con lo cual restaría por cumplir menos de cuatro años y seis meses de pena) y “aún cuando los hechos objeto de condena sean de indudable gravedad, es lo cierto que si se compara el período de tiempo que suele consumirse en la tramitación de un proceso de amparo, con la extensión de la pena impuesta, parece claro que, de no accederse a la suspensión de dicha condena, se causaría a los solicitantes un perjuicio irreparable que tornaría en ilusorios los efectos del eventual otorgamiento del amparo, sin que aparezca, por el contrario, que la suspensión de dicha condena, en el presente supuesto, ocasione más perjuicio a los intereses generales que los que normalmente toda suspensión comporta.”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ejecución del acto de los poderes públicos por razón del cual se reclama el amparo constitucional sólo se suspenderá cuando el mismo hubiera de ocasionar un perjuicio que haría perder al amparo su finalidad (o haga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 El supuesto paradigmático de pérdida de la finalidad del amparo en el eventual caso de que éste sea concedido es la privación de libertad, pues, como resulta evidente, el tiempo durante el que se ha sido privado de ella no puede luego recuperarse. Aun así, como hemos recordado que dispone el precepto que permite la suspensión, caso de que se vean perturbados gravemente los derechos fundamentales o libertades públicas de terceros o los intereses generales, cabe denegar tal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es claro que no se da lo primero, la lesión de derechos o libertades de algún tercero, de modo que resta por observar si se produce lo segundo, esto es, si por la suspensión de la pena impuesta al recurrente, puede seguirse grave afectación de los intereses generales. Como hemos dicho numerosas veces,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Teniendo en cuenta lo dicho, esta Sala, de acuerdo con el criterio mantenido por el Ministerio Fiscal, estima que aunque el delito por el cual han sido condenados los recurrentes en amparo es de especial gravedad (delito contra la salud pública) y la pena impuesta es de cinco años y seis meses de prisión, también es cierto que dicho delito no alcanzó la aplicación de la agravante de notoria importancia, que los recurrentes se encuentran en situación de libertad provisional bajo fianza a la espera de la presente resolución después de haber permanecido en situación de prisión preventiva durante la fase de instrucción del procedimiento (don Vicente José Rodrigo permaneció privado de libertad durante un año y catorce días y don Bernardo Gil Bodón durante un año y veinte y un días), por lo que el tiempo restante de cumplimiento de condena es ligeramente inferior a cuatro años y seis meses, tiempo en el que este Tribunal viene habitualmente entendiendo que permite su suspensión por quedar comprendido dentro de la posible duración de la tramitación del recurso (ATC 269/1998, de 26 de noviembre). Todo ello fuerza a convenir con el Fiscal que los intereses generales que se puedan asociar a la ejecución de la sentencia penal en lo que a la privación de la libertad se refiere, se encuentren en el presente supuesto muy debilitados.</w:t>
      </w:r>
    </w:p>
    <w:p w:rsidRPr="00C21FFE" w:rsidR="00AD51A7" w:rsidRDefault="008777C4">
      <w:pPr>
        <w:rPr/>
      </w:pPr>
      <w:r w:rsidRPr="&lt;w:rPr xmlns:w=&quot;http://schemas.openxmlformats.org/wordprocessingml/2006/main&quot;&gt;&lt;w:lang w:val=&quot;es-ES_tradnl&quot; /&gt;&lt;/w:rPr&gt;">
        <w:rPr/>
        <w:t xml:space="preserve">No procede, por el contrario, la suspensión de la condena en lo que se refiere a los pronunciamientos de contenido patrimonial (multa y costas),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interesada exclusivamente en lo referente a la pena privativa de libertad y a las accesorias legales.</w:t>
      </w:r>
    </w:p>
    <w:p w:rsidRPr="" w:rsidR="00AD51A7" w:rsidRDefault="008777C4">
      <w:pPr>
        <w:rPr/>
      </w:pPr>
      <w:r w:rsidRPr="&lt;w:rPr xmlns:w=&quot;http://schemas.openxmlformats.org/wordprocessingml/2006/main&quot;&gt;&lt;w:szCs w:val=&quot;24&quot; /&gt;&lt;/w:rPr&gt;">
        <w:rPr/>
        <w:t xml:space="preserve">2º. Denegar la suspensión en lo concerniente a la multa y al abono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