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marzo de 2000, el Letrado del Consejo de Gobierno de la Junta de Comunidades de Castilla-La Mancha, en la representación que legalmente ostenta, promueve conflicto positivo de competencia contra las Resoluciones del Ministerio de Fomento de 6 de julio de 1999 y de 5 de noviembre de 1999 que imponen sanciones a la empresa “Ciudad Real Noticias, S.A.”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Primera de 11 de abril de 2000, el Abogado del Estado formuló sus alegaciones mediante escrito de 28 de abril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febrero de 2005, el Letrado de la Comunidad de Castilla-La Mancha, presenta en este Tribunal un escrito en el que expuso que, debidamente autorizado en virtud de acuerdo del Consejo de Gobierno de Castilla-La Mancha de 15 de febrero de 2005, solicita tener por desistido al dicho Consejo de Gobierno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15 de marzo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18 de marzo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233/1993,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Letrado del Gobierno de la Junta de Comunidades de Castilla-La Mancha, debidamente autorizado, según certificación del Acuerdo adoptado al efecto por el dicho Gobierno, pide que se le tenga por desistido del presente conflicto positivo de competencia.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la Junta de Comunidades de Castilla-La Mancha, en la representación que legalmente ostenta, del conflicto positivo de competencia núm. 1824-2000, planteado en relación con las Resoluciones del Ministerio de</w:t>
      </w:r>
    </w:p>
    <w:p w:rsidRPr="" w:rsidR="00AD51A7" w:rsidRDefault="008777C4">
      <w:pPr>
        <w:rPr/>
      </w:pPr>
      <w:r w:rsidRPr="&lt;w:rPr xmlns:w=&quot;http://schemas.openxmlformats.org/wordprocessingml/2006/main&quot;&gt;&lt;w:szCs w:val=&quot;24&quot; /&gt;&lt;/w:rPr&gt;">
        <w:rPr/>
        <w:t xml:space="preserve">Fomento de 6 de julio de 1999 y de 5 de noviembre de 1999 que imponen sanciones a la empresa “Ciudad Real Noticias S.A.”,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