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162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2005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19 de abril de 2005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la cuestión de inconstitucionalidad núm. 6277-2002 planteada por la Sección Segunda de la Sala Tercera del Tribunal Supremo se cuestionan los apartados 1 y 2 del art. 70 de la Ley 27/1992, 24 de noviembre, puertos del Estado y de la marina mercante, en su redacción originaria, por presunta vulneración del art. 31.3 de la Constitución Española.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Mediante sendos escritos fechados el día 12 de abril de 2005 los Magistrados don Ramón Rodríguez Arribas y don Pascual Sala Sánchez comunicaron a los efectos oportunos que se abstenían de intervenir en la deliberación y votación de la indicada cuestión de inconstitucionalidad, de conformidad con el art. 219.11º de la LOPJ, al haber formado parte del órgano judicial que planteó la cuestión de inconstitucionalidad.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Vistas las comunicaciones efectuadas por don Ramón Rodríguez Arribas y don Pascual Sala Sánchez, Magistrados de este Tribunal Constitucional, en virtud de lo previsto en los arts. 80 LOTC y 221.4 LOPJ, se estima justificada la causa de abstención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formulada, puesto que los mencionados Magistrados han formado parte de la Sala Tercera del Tribunal Supremo que, con fecha de 7 de noviembre de 2002, planteó la presente cuestión de inconstitucionalidad.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el Pleno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la causa de abstención formulada por los Excmos. Srs. don. Ramón Rodríguez Arribas y don Pascual Sala Sánchez en la cuestión de inconstitucionalidad núm. 6277-2002, apartándoles definitivamente de la referida cuestión.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diecinueve de abril de dos mil cinco.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