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28 de marzo de 2001, el Abogado del Estado, en la representación que legalmente ostenta, interpuso recurso de inconstitucionalidad contra diferentes preceptos de la Ley de las Cortes de Castilla-La Mancha 11/2000, de 26 de diciembre, del impuesto sobre determinadas actividades que inciden sobre el Medio Ambiente. En el recurso se hacía invocación expresa del art. 161.2 CE, al objeto de que se acordase la suspensión de los preceptos legales impugnados; suspensión que fue posteriormente levantada por el ATC 251/2001, de 18 de septiembre. </w:t>
      </w:r>
    </w:p>
    <w:p w:rsidRPr="00C21FFE" w:rsidR="00AD51A7" w:rsidRDefault="008777C4">
      <w:pPr>
        <w:rPr/>
      </w:pPr>
      <w:r w:rsidRPr="&lt;w:rPr xmlns:w=&quot;http://schemas.openxmlformats.org/wordprocessingml/2006/main&quot;&gt;&lt;w:lang w:val=&quot;es-ES_tradnl&quot; /&gt;&lt;/w:rPr&gt;">
        <w:rPr/>
        <w:t xml:space="preserve">Admitido a trámite el presente recurso, por providencia de la Sección Segunda de 24 de abril de 2001, el Letrado de las Cortes de Castilla-La Mancha formuló alegaciones con fecha 18 de mayo de 2001, solicitando que se dictase Sentencia por la que, con desestimación del recurso, se declarase la constitucionalidad de los preceptos legales impugnados. Idéntica pretensión dedujo el Letrado de la Junta de Comunidades de Castilla-La Mancha el 26 de mayo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13 de julio de 2005, el Abogado del Estado presentó en este Tribunal un escrito en el que expuso que, debidamente autorizado en virtud del acuerdo del Consejo de Ministros de 1 de julio de 2005, solicitaba, al amparo de lo establecido en el art. 86 LOTC, en conexión con el art. 80 de la misma Ley, que se tenga por desistido al Presidente del Gobierno de la Nación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la Sección Tercera de 19 de julio de 2005, se acordó incorporar a los autos el escrito del Abogado del Estado y oír a la representación del Gobierno de la Junta de Comunidades y Cortes de Castilla-La Mancha para que, en el plazo de diez días, alegaran lo que estimasen oportuno en relación con la solicitud de desistimiento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29 de julio de 2005, el Letrado de las Cortes de Castilla-La Mancha dirigió un escrito al Tribunal en el que manifiesta que nada tiene que oponer al desistimiento solicitado. En idéntico sentido se expresó el Letrado de la Junta de Comunidades de Castilla-La Mancha el 1 de septiembre de 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del proceso hasta su finalización por Sentencia (AATC, por todos, 33/1993, de 26 de enero; 173/1997, de 20 de mayo; 278/2001, de 30 de octubre; 129/2002, de 16 de julio; 43/2004, de 10 de</w:t>
      </w:r>
    </w:p>
    <w:p w:rsidRPr="00C21FFE" w:rsidR="00AD51A7" w:rsidRDefault="008777C4">
      <w:pPr>
        <w:rPr/>
      </w:pPr>
      <w:r w:rsidRPr="&lt;w:rPr xmlns:w=&quot;http://schemas.openxmlformats.org/wordprocessingml/2006/main&quot;&gt;&lt;w:lang w:val=&quot;es-ES_tradnl&quot; /&gt;&lt;/w:rPr&gt;">
        <w:rPr/>
        <w:t xml:space="preserve">febrero; 234/2004, de 7 de junio y 165/2005, de 19 de abril).</w:t>
      </w:r>
    </w:p>
    <w:p w:rsidRPr="00C21FFE" w:rsidR="00AD51A7" w:rsidRDefault="008777C4">
      <w:pPr>
        <w:rPr/>
      </w:pPr>
      <w:r w:rsidRPr="&lt;w:rPr xmlns:w=&quot;http://schemas.openxmlformats.org/wordprocessingml/2006/main&quot;&gt;&lt;w:lang w:val=&quot;es-ES_tradnl&quot; /&gt;&lt;/w:rPr&gt;">
        <w:rPr/>
        <w:t xml:space="preserve">En este caso, el Abogado del Estado, debidamente autorizado, según certificación del Acuerdo, adoptado al efecto por el Presidente del Gobierno de la Nación, previa solicitud acordada en el Consejo de Ministros celebrado el día 1 de julio de 2005, pide que se le tenga por desistido del presente recurso de inconstitucionalidad. A su vez, las representaciones procesales de las Cortes y de la Junta de Comunidades de Castilla-La Mancha no plantean objeción alguna al desistimiento formulado,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1771-2001, promovido contra diversos preceptos de la Ley de las Cortes de Castilla-La Mancha 11/2000, de 26 de diciembre, del</w:t>
      </w:r>
    </w:p>
    <w:p w:rsidRPr="" w:rsidR="00AD51A7" w:rsidRDefault="008777C4">
      <w:pPr>
        <w:rPr/>
      </w:pPr>
      <w:r w:rsidRPr="&lt;w:rPr xmlns:w=&quot;http://schemas.openxmlformats.org/wordprocessingml/2006/main&quot;&gt;&lt;w:szCs w:val=&quot;24&quot; /&gt;&lt;/w:rPr&gt;">
        <w:rPr/>
        <w:t xml:space="preserve">impuesto sobre determinadas actividades que inciden sobre el Medio Ambiente,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