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344</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26 de septiembre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19 de julio de 2005 la Procuradora de los Tribunales doña María del Pilar Vived de la Vega, interpuso, en nombre de don Cherif Ouafi, recurso de amparo contra el Auto del Pleno de la Sala de lo Penal de la Audiencia Nacional, de fecha 3 de junio de 2005, recaído en el recurso de súplica número 55-2005, interpuesto contra el Auto dictado por la Sección Primera de la Audiencia Nacional en rollo de Sala 138/2004, de fecha 21 de abril de 2005, que declara procedente la extradición a Argelia del ciudadano de nacionalidad irlandesa Cherif Ouafi, solicitada por nota verbal núm. 230/2004 de la Embajada de ese país, para ser juzgado por los hechos y delitos a que se refiere la orden de captura internacional expedida por el Juez Instructor del Tribunal de Sidi M´hamed de Argelia, de fecha 10 de noviembre de 2001, con la condición de que, para el caso de que llegue a imponerse pena de cadena perpetua, ésta no significará indefectiblemente la privación de libertad de por vida, pues se le reconocerá que podrá acogerse a medidas de revisión de la pena o aplicación de medidas de clemencia a las cuales podrá acogerse, con vistas a la no ejecución de la pena, todo ello sin perjuicio de la última decisión que corresponde al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alega violación del derecho fundamental a la tutela judicial efectiva (art. 24.1 CE) y del derecho fundamental a un proceso con todas las garantías (art. 24.2 CE). En la demanda de amparo se solicita también, mediante otrosí, la suspensión de la ejecución de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12 de agosto de 2005 la Sección de Vacaciones de este Tribunal acordó admitir a trámite la demanda de amparo, sin perjuicio de lo que resulte de los antecedentes, y formar la correspondiente pieza separada de suspensión. En nuevo proveído de la misma fecha dispuso, de conformidad con lo previsto en el art. 56 LOTC, conceder un plazo común de tres días al Ministerio Fiscal y al demandante de amparo, para que, dentro de dicho término, alegasen lo que estimaren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procesal del recurrente de amparo formuló sus alegaciones en escrito que tuvo entrada en este Tribunal el día 6 de septiembre de 2005, reiterando su petición de suspensión por las siguientes razones: que la entrega a la República de Argelia del demandante tendría un carácter absolutamente irreversible por lo que el recurso de amparo quedaría vacío de contenido cualquiera que fuese su resolución final; que la posibilidad de tratos inhumanos y degradantes no es tal posibilidad sino desgraciadamente una realidad tangible e igualmente irreversible; y, finalmente, que las irregularidades cometidas a lo largo de la tramitación del expediente de extradición vulneran los arts. 238 y 11 LOPJ y, desde luego, el derecho a la tutela judicial efectiva, que indudablemente dejaría de serlo si se procediera a la entrega del sr. Ouafi sin la resolución de fondo del recurso de amparo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registrado ante este Tribunal el 2 de septiembre de 2005 el Ministerio Fiscal manifestó su posición favorable a la suspensión de la resolución recurrida. Alega el Fiscal que en lo supuestos de extradición la ejecución de las resoluciones impugnadas puede convertir en ilusoria la eventual concesión del amparo, toda vez que si la persona requerida fuera entregada a las autoridades del Estado requirente podría perder el amparo su finalidad, pues, en definitiva, su objeto es cuestionar la decisión de acceder a la extradición, ya que una vez que el recurrente se encuentre bajo la potestad de otro Estado, sería muy difícil que un eventual pronunciamiento estimatorio, por el que se anularan los Autos que acceden a la extradición, pudiera tener plena eficacia en ese 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esta doctrina,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orden de cosas,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w:t>
      </w:r>
    </w:p>
    <w:p w:rsidRPr="00C21FFE" w:rsidR="00AD51A7" w:rsidRDefault="008777C4">
      <w:pPr>
        <w:rPr/>
      </w:pPr>
      <w:r w:rsidRPr="&lt;w:rPr xmlns:w=&quot;http://schemas.openxmlformats.org/wordprocessingml/2006/main&quot;&gt;&lt;w:lang w:val=&quot;es-ES_tradnl&quot; /&gt;&lt;/w:rPr&gt;">
        <w:rPr/>
        <w:t xml:space="preserve">En cambio, procederá en principio acordar la suspensión si las resoluciones judiciales afectan a bienes o derechos del recurrente en amparo de imposible o muy difícil restitución a su estado anterior, como ocurre con las condenas apenas de privación de libertad, si bien este criterio general tampoco es absoluto, ya que en estos supuestos deben también ponderarse otras circunstancias relevantes, significativamente la duración y gravedad de la pena impuesta porque, con ciertos matices que no hacen ahora al caso, en ella se expresa la reprobación que el ordenamiento asigna al hecho delictivo y, por consiguiente, la magnitud del interés general en su ejecución (AATC 136/1999, de 31 de mayo, FJ 1, 116/2000, de 5 de mayo, FJ 3, 230/2001, de 24 de julio, FJ 1, 273/2002, de 18 de diciembre, FJ 1, 322/2003, de 13 de octubre, FJ 2,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particular, en los casos de extradición pasiva, la doctrina mantenida por este Tribunal es que procede suspender la ejecución de las resoluciones judiciales que la acuerdan, ya que en estos casos, por un lado, la efectividad de dichas resoluciones, con la consiguiente entrega del recurrente a las autoridades del Estado requirente podría convertir en una decisión meramente declarativa, en cuanto desprovista de toda eficacia práctica, una eventual Sentencia que otorgase el amparo, pues una vez que el ciudadano reclamado se encontrase bajo la potestad del Estado requirente, sería muy difícil que un eventual pronunciamiento de este Tribunal que —en hipótesis— anulara los Autos que declaran procedente la extradición pudiera surtir plenos efectos en dicho Estado; y, por otro, además, por lo general no se aprecia que la suspensión pueda originar una perturbación grave de los intereses generales ni de los derechos fundamentales o libertades públicas de un tercero, pues aunque existen intereses generales que aconsejan tanto el cumplimiento de las resoluciones judiciales como de los Tratados Internacionales, dichos intereses no quedarán afectados por la suspensión provisional de unos Autos cuya ejecución inmediata provocaría consecuencias irreversibles (por todos, AATC 228/1999, de 27 de septiembre; 266/1999, de 11 de noviembre; 88/2000, de 17 de marzo; 123/2000, de 16 de mayo; 78/2001, de 2 de abril; 2/2002, de 14 de enero).</w:t>
      </w:r>
    </w:p>
    <w:p w:rsidRPr="00C21FFE" w:rsidR="00AD51A7" w:rsidRDefault="008777C4">
      <w:pPr>
        <w:rPr/>
      </w:pPr>
      <w:r w:rsidRPr="&lt;w:rPr xmlns:w=&quot;http://schemas.openxmlformats.org/wordprocessingml/2006/main&quot;&gt;&lt;w:lang w:val=&quot;es-ES_tradnl&quot; /&gt;&lt;/w:rPr&gt;">
        <w:rPr/>
        <w:t xml:space="preserve">En ese sentido, procede acordar la suspensión de la resolución recurrida en atención a que su ejecución ocasionaría perjuicios que harían perder al amparo su finalidad y no cabe apreciar que de la misma pudiera seguirse perturbación grave de los intereses generales o de un tercero, si bien, como ya ha sido destacado en diversos pronunciamientos (por todos, AATC 88/2000, 123/2000 y 78/2001), los intereses generales que concurren en la propia ejecución de esta resolución reclaman que el presente recurso se resuelva con la mayor premura posible, incluso anteponiéndolo en el orden de señalamientos. Y todo ello sin perjuicio de que el Tribunal competente mantenga o adopte las medidas cautelares oportunas para que el recurrente permanezca a disposición de la Justicia.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del Auto del Pleno de la Sala de lo Penal de la Audiencia Nacional, de 3 de junio de 2005, recaído en el recurso de súplica núm 55-2005, interpuesto contra el dictado por la Sección Primera de la Audiencia Nacional en rollo de Sala</w:t>
      </w:r>
    </w:p>
    <w:p w:rsidRPr="" w:rsidR="00AD51A7" w:rsidRDefault="008777C4">
      <w:pPr>
        <w:rPr/>
      </w:pPr>
      <w:r w:rsidRPr="&lt;w:rPr xmlns:w=&quot;http://schemas.openxmlformats.org/wordprocessingml/2006/main&quot;&gt;&lt;w:szCs w:val=&quot;24&quot; /&gt;&lt;/w:rPr&gt;">
        <w:rPr/>
        <w:t xml:space="preserve">138/2004 (Expte extradición 73/2004).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veintiséis de septiembre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