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11 de diciembre de 1998 el Letrado de la Comunidad Autónoma de Aragón, en representación de su Consejo de Gobierno, planteó conflicto positivo de competencia contra los arts. 1, 3 y 4 y las disposiciones adicionales 1ª, 2ª, 3ª, 4ª, 5ª, 6ª y 7ª del Real Decreto 1760/1998, de 31 de julio, por el que se determina la composición y funcionamiento del Consejo de la red de parques nacionales, de las Comisiones Mixtas de Gestión de dichos parques y de sus Patronatos. </w:t>
      </w:r>
    </w:p>
    <w:p w:rsidRPr="00C21FFE" w:rsidR="00AD51A7" w:rsidRDefault="008777C4">
      <w:pPr>
        <w:rPr/>
      </w:pPr>
      <w:r w:rsidRPr="&lt;w:rPr xmlns:w=&quot;http://schemas.openxmlformats.org/wordprocessingml/2006/main&quot;&gt;&lt;w:lang w:val=&quot;es-ES_tradnl&quot; /&gt;&lt;/w:rPr&gt;">
        <w:rPr/>
        <w:t xml:space="preserve">Dicho conflicto positivo de competencia fue admitido a trámite mediante providencia de la Sección Cuarta de 26 de enero de 1999, asignándose el núm. 5229-1998. </w:t>
      </w:r>
    </w:p>
    <w:p w:rsidRPr="00C21FFE" w:rsidR="00AD51A7" w:rsidRDefault="008777C4">
      <w:pPr>
        <w:rPr/>
      </w:pPr>
      <w:r w:rsidRPr="&lt;w:rPr xmlns:w=&quot;http://schemas.openxmlformats.org/wordprocessingml/2006/main&quot;&gt;&lt;w:lang w:val=&quot;es-ES_tradnl&quot; /&gt;&lt;/w:rPr&gt;">
        <w:rPr/>
        <w:t xml:space="preserve">En la misma providencia se acordó oír a las partes acerca de la posible acumulación del conflicto con los recursos de inconstitucionalidad, ya acumulados, núms. 460-1998, 469-1998 y 483-1998.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el día 29 de diciembre de 1998 el Letrado de la Junta de Andalucía, representando al Consejo de Gobierno, formalizó conflicto positivo de competencia en relación con los arts. 1, 3 y 4, disposiciones adicionales 1ª, 2ª, 4ª, 5ª, 6ª, 7ª, núm. 3 del Anexo I y núm. 7 del Anexo II del Real Decreto 1760/1998, de 31 de julio, por el que se determina la composición y funcionamiento del Consejo de la red de parques nacionales, de las Comisiones Mixtas de Gestión de dichos parques y de sus Patronatos. </w:t>
      </w:r>
    </w:p>
    <w:p w:rsidRPr="00C21FFE" w:rsidR="00AD51A7" w:rsidRDefault="008777C4">
      <w:pPr>
        <w:rPr/>
      </w:pPr>
      <w:r w:rsidRPr="&lt;w:rPr xmlns:w=&quot;http://schemas.openxmlformats.org/wordprocessingml/2006/main&quot;&gt;&lt;w:lang w:val=&quot;es-ES_tradnl&quot; /&gt;&lt;/w:rPr&gt;">
        <w:rPr/>
        <w:t xml:space="preserve">El conflicto, registrado con el número 5504-1998, se admitió a trámite por providencia de la Sección Cuarta de 26 de enero de 1999. En esta misma providencia se acordó oír a las partes acerca de la posible acumulación del conflicto con los recursos de inconstitucionalidad ya acumulados núms. 460-1998, 469-1998 y 483-1998, así como con el conflicto positivo de competencia núm. 5229-1998.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11 de febrero de 1998 el letrado de la Junta de Andalucía se pronunció a favor de la acumulación indicada. </w:t>
      </w:r>
    </w:p>
    <w:p w:rsidRPr="00C21FFE" w:rsidR="00AD51A7" w:rsidRDefault="008777C4">
      <w:pPr>
        <w:rPr/>
      </w:pPr>
      <w:r w:rsidRPr="&lt;w:rPr xmlns:w=&quot;http://schemas.openxmlformats.org/wordprocessingml/2006/main&quot;&gt;&lt;w:lang w:val=&quot;es-ES_tradnl&quot; /&gt;&lt;/w:rPr&gt;">
        <w:rPr/>
        <w:t xml:space="preserve">Mediante escrito de 18 de febrero de 1999 el Letrado de la Comunidad de Aragón también solicitó que se procediera a la acumulación. </w:t>
      </w:r>
    </w:p>
    <w:p w:rsidRPr="00C21FFE" w:rsidR="00AD51A7" w:rsidRDefault="008777C4">
      <w:pPr>
        <w:rPr/>
      </w:pPr>
      <w:r w:rsidRPr="&lt;w:rPr xmlns:w=&quot;http://schemas.openxmlformats.org/wordprocessingml/2006/main&quot;&gt;&lt;w:lang w:val=&quot;es-ES_tradnl&quot; /&gt;&lt;/w:rPr&gt;">
        <w:rPr/>
        <w:t xml:space="preserve">Por su parte el Abogado del Estado, en escritos registrados el día 18 de febrero de 1999, de contestación a las demandas que planteaban los conflictos positivos de competencia núms. 5229-1998 y 5504-1998, también se pronunció en sentido favorable 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recursos de inconstitucionalidad acumulados núms. 460-1998, 469-1998 y 483-1998 fueron resueltos por este Tribunal mediante STC 194/2004, de 4 de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y expresado con las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los dos conflictos de competencia una indudable conexión, que es además relevante para su tramitación y decisión unitaria, pues versan sobre el mismo asunto, relativo a la titularidad competencial de los órganos de gestión de los Parques Nacionales.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conflicto positivo de competencia núm. 5504-1998 al conflicto núm. 5229-1998.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