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mayo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1164/02), el Auto de la referida Sala de 19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10 de octubre 2001 la Consejería de Economía, Industria y Comercio de la Junta de Extremadura notificó a la D. Javier Carretero Morales una propuesta de liquidación provisional en concepto de Impuesto sobre el suelo sin edificar y edificaciones ruinosas, por un importe de 2.149,12 €.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120/2002) ante la Junta Económico-Administrativa de la Junta de Extremadura, ésta fue desestimada por Resolución de 8 de julio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1164/02)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19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noviembre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23 de noviembre de 2005, interesando la admisión a trámite de la cuestión de inconstitucionalidad planteada por considerar que no es notoriamente infundada, conforme a los argumentos expuestos en las cuestiones de inconstitucionalidad núms. 2346/05 y 2358/05, a los que se remite para evitar inútiles reproducciones. </w:t>
      </w:r>
    </w:p>
    <w:p w:rsidRPr="00C21FFE" w:rsidR="00AD51A7" w:rsidRDefault="008777C4">
      <w:pPr>
        <w:rPr/>
      </w:pPr>
      <w:r w:rsidRPr="&lt;w:rPr xmlns:w=&quot;http://schemas.openxmlformats.org/wordprocessingml/2006/main&quot;&gt;&lt;w:lang w:val=&quot;es-ES_tradnl&quot; /&gt;&lt;/w:rPr&gt;">
        <w:rPr/>
        <w:t xml:space="preserve">En los escritos de alegaciones presentados en las cuestiones 2346-2005 y 2358-2005, el Fiscal,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por Auto de 19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