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diciembre de 2003 tuvo entrada en el Registro de este Tribunal escrito firmado por el Procurador de los Tribunales don Germán Marina y Grimau, en representación de Caja España de Inversiones, Caja de Ahorros y Monte de Piedad, en virtud del cual interponía recurso de amparo contra la providencia del Juzgado de Primera Instancia núm. 34 de Madrid, de 13 de noviembre de 2003, que inadmitió el recurso de reposición interpuesto contra providencia de 28 de octubre de 2003, en cuya virtud se rechazó la excusa de la recurrente para el cargo de Interventor Acreedor en la suspensión de pagos 912-2003. Por medio de otrosí, se solicitaba en la demanda la suspensión de la ejecución de la resolución recurrida, con el objeto de evitar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24 de enero de 2006, la Sala Segunda acordó admitir a trámite el recurso de amparo y dirigir comunicación al órgano judicial correspondiente, a fin de que, en el plazo de diez días, remitiera certificación o fotocopia adverada de las actuaciones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don Germán Marina y Grimau presentó escrito en este Tribunal el 1 de febrero de 2006, señalando que en el expediente de suspensión de pagos en el que se dictaron las resoluciones que motivan el presente recurso se ha dictado Auto el 30 de diciembre de 2005, por el que se aprueba el convenio alcanzado en dicho procedimiento, con las consecuencias inherentes y, entre ellas, la de cesar en sus funciones los Interventores. Manifiesta que, como consecuencia de la modificación de las circunstancias, la medida de suspensión solicitada en su día carecería hoy de efectividad y, por tanto, no resulta ya oportuno acordarla.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Fiscal, en escrito registrado el 2 de febrero de 2006, manifiesta que procede denegar la suspensión solicitada. Tras exponer los antecedentes del caso y la doctrina de este Tribunal acerca de la previsión del art. 56 LOTC, afirma que la aplicación de ésta al caso presente conduce a que no se acuerde la suspensión, ya que, por una parte, por la demandante de amparo no se acredita, y ni tan siquiera se alega, que se le derive perjuicio alguno, sino que se limita a invocar su irreparabilidad, y, por otra, los perjuicios que se podrían ocasionar serían meramente económicos, derivados de su actuación como interventor de la suspensión, que por su propia naturaleza son susceptibles de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se ha de advertir que, en su demanda, la recurrente se limita a solicitar que se suspenda la ejecución de la resolución impugnada, alegando que la ejecución del acto judicial consumaría el perjuicio y haría perder al amparo su finalidad, pero no acredita suficientemente la irreparabilidad que para sus derechos fundamentales pueda conllevar la ejecución de la resolución judicial impugnada durante la sustanciación del presente recurso de amparo. Es más, en el trámite de alegaciones la actora ha afirmado que la solicitud de suspensión articulada en la demanda carece de efectividad, toda vez que se ha dictado Auto en el procedimiento de suspensión de pagos aprobando el convenio alcanzado, con la consecuencia -entre otras- de que los interventores han cesado en sus funciones.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veintisiete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