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108</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28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noviembre de 2004 tuvo entrada en el Registro General de este Tribunal Constitucional un escrito de la Sección Séptima de la Sala de lo Contencioso-Administrativo de la Audiencia Nacional, al que se acompaña, junto al testimonio del correspondiente procedimiento, el Auto de la referida Sala de 24 de marzo de 2004, mediante el que se acuerda elevar a este Tribunal cuestión de inconstitucionalidad respecto del apartado 1.3.2 del art. 66 Ley 13/2000, de 28 de diciembre, de presupuestos generales del Estado para el año 2001, dado que pudiera ser contrario a los arts. 9.3, 31.3 y 38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Con fecha de 3 de febrero de 1995 se formalizó entre la Administración y “Telefónica de España, S.A.” un contrato administrativo de concesión para la explotación del servicio público de telecomunicación de valor añadido de telefonía móvil automática. </w:t>
      </w:r>
    </w:p>
    <w:p w:rsidRPr="00C21FFE" w:rsidR="00AD51A7" w:rsidRDefault="008777C4">
      <w:pPr>
        <w:rPr/>
      </w:pPr>
      <w:r w:rsidRPr="&lt;w:rPr xmlns:w=&quot;http://schemas.openxmlformats.org/wordprocessingml/2006/main&quot;&gt;&lt;w:lang w:val=&quot;es-ES_tradnl&quot; /&gt;&lt;/w:rPr&gt;">
        <w:rPr/>
        <w:t xml:space="preserve">Posteriormente, con fecha de 29 de marzo de 2001 la Secretaría de Estado de Telecomunicaciones y para la Sociedad de la Información giró a la citada entidad mercantil una liquidación en concepto de tasa de reserva del dominio público radioeléctrico (núm. DGZZ 952004) correspondiente al período 01-01-2001 a 31-12-2001, sobre una base de 12.143.760.000 URRs (cantidad de dominio público reservado) y un valor de la URR de 0,43056, con un importe total de 5.228.617.306 ptas (31.424.622,9 €). Esta liquidación fue recurrida ante el Tribunal Económico-Administrativo Central (RG 3053/01; RS 275/01), quien por Resolución con fecha de 25 de septiembre de 2001 desestimó la reclamación. </w:t>
      </w:r>
    </w:p>
    <w:p w:rsidRPr="00C21FFE" w:rsidR="00AD51A7" w:rsidRDefault="008777C4">
      <w:pPr>
        <w:rPr/>
      </w:pPr>
      <w:r w:rsidRPr="&lt;w:rPr xmlns:w=&quot;http://schemas.openxmlformats.org/wordprocessingml/2006/main&quot;&gt;&lt;w:lang w:val=&quot;es-ES_tradnl&quot; /&gt;&lt;/w:rPr&gt;">
        <w:rPr/>
        <w:t xml:space="preserve">b) Contra la anterior Resolución se interpuso recurso contencioso-administrativo ante la Sala de lo Contencioso-Administrativo de la Audiencia Nacional (núm. 1734-2001), quien tras declarar los autos conclusos y oír a las partes y al Ministerio Fiscal, acordó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24 de marzo de 2004 la Sección Séptima de la Sala de lo Contencioso-Administrativo de la Audiencia Nacional acordó elevar a este Tribunal cuestión de inconstitucionalidad en relación con “el apartado 1.3.2 del art. 66 Ley 13/2000, de 28 de diciembre, de presupuestos generales del Estado para el año 2001, por posible vulneración de los arts. 9.3, 31.3 y 38 de la Constitución Española”. En la fundamentación jurídica del Auto se razona, en esencia, en los siguientes términos. Se destaca por el órgano judicial, en primer lugar, que el incremento aplicado sobre la tasa correspondiente al ejercicio 2001 y la justificación que se hace del mismo “plantea a esta Sala dudas fundadas sobre la constitucionalidad del art. 66 Ley 13/2000, de 28 de diciembre de presupuestos generales del Estado para el año 2001, y en concreto, su colisión con los principios consagrados en los arts. 9.3 y 31.1 en relación con el art. 38 CE, por cuanto el nuevo valor asignado a los coeficientes C4 y C5, a efectos de determinar el valor de la URR, ha sido realizado mediante procedimientos que adolecen de cierta arbitrariedad y carentes de justificación objetiva, lo que ha determinado un resultado —cuantía de la tasa desproporcionada— en atención a la finalidad de la tasa y que podría producir efectos contrarios a los pretendidos por esta, afectando asimismo al adecuado desarrollo de la libertad de empresa”. </w:t>
      </w:r>
    </w:p>
    <w:p w:rsidRPr="00C21FFE" w:rsidR="00AD51A7" w:rsidRDefault="008777C4">
      <w:pPr>
        <w:rPr/>
      </w:pPr>
      <w:r w:rsidRPr="&lt;w:rPr xmlns:w=&quot;http://schemas.openxmlformats.org/wordprocessingml/2006/main&quot;&gt;&lt;w:lang w:val=&quot;es-ES_tradnl&quot; /&gt;&lt;/w:rPr&gt;">
        <w:rP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por la “importantísima revalorización que ha experimentado en Europa las bandas de frecuencia reservadas al servicio de telefonía móvil, puestas de manifiesto en los procesos de licitación recientes para la obtención de licencias UMTS, fundamentalmente en Reino unido y Alemania”. Tal apreciación, sin embargo, se contradice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como “[d]esde el verano de 2000 ha disminuido en Europa el interés suscitado por las licencias de sistemas de tercera generación, como consecuencia de la revaluación de riesgos efectuada por los 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 </w:t>
      </w:r>
    </w:p>
    <w:p w:rsidRPr="00C21FFE" w:rsidR="00AD51A7" w:rsidRDefault="008777C4">
      <w:pPr>
        <w:rPr/>
      </w:pPr>
      <w:r w:rsidRPr="&lt;w:rPr xmlns:w=&quot;http://schemas.openxmlformats.org/wordprocessingml/2006/main&quot;&gt;&lt;w:lang w:val=&quot;es-ES_tradnl&quot; /&gt;&lt;/w:rPr&gt;">
        <w:rPr/>
        <w:t xml:space="preserve">De lo anterior deduce el órgano judicial que las subastas realizadas en Reino Unido y Alemania, lejos de implicar una revalorización del espectro radioeléctrico, ha determinado una disminución del mismo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Esa arbitrariedad en el incremento del valor de la URR para el año 2001, se corrobora, asimismo, por el hecho de que para el año siguiente se hayan modificado nuevamente los citados parámetros, pero esta vez a la baja, en la Ley 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Pr="00C21FFE" w:rsidR="00AD51A7" w:rsidRDefault="008777C4">
      <w:pPr>
        <w:rPr/>
      </w:pPr>
      <w:r w:rsidRPr="&lt;w:rPr xmlns:w=&quot;http://schemas.openxmlformats.org/wordprocessingml/2006/main&quot;&gt;&lt;w:lang w:val=&quot;es-ES_tradnl&quot; /&gt;&lt;/w:rPr&gt;">
        <w:rP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esta. Así, si el objetivo de la tasa es garantizar el uso óptimo del espectro radioeléctrico —según se desprende de la Directiva 97/13/CE (art. 11.2º)—,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Pr="00C21FFE" w:rsidR="00AD51A7" w:rsidRDefault="008777C4">
      <w:pPr>
        <w:rPr/>
      </w:pPr>
      <w:r w:rsidRPr="&lt;w:rPr xmlns:w=&quot;http://schemas.openxmlformats.org/wordprocessingml/2006/main&quot;&gt;&lt;w:lang w:val=&quot;es-ES_tradnl&quot; /&gt;&lt;/w:rPr&gt;">
        <w:rPr/>
        <w:t xml:space="preserve">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 y que “[e]l retraso de UMTS y los costes de las subastas y tasas radioeléctricas complican la situación económica de los operadores móviles, que sin embargo, para el año 2002, se han beneficiado de una reducción de la tasa radioeléctrica”.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22 de noviembre de 2005, a los efectos que determina el art. 37.1 LOTC, acordó oír al Fiscal General del Estado para que, en el plazo de diez días, alegase lo que considerase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20 de diciembre de 2005 el Fiscal General del Estado presentó su escrito de alegaciones en el que, tras exponer brevemente los antecedentes de la cuestión pone de manifiesto que el objeto de la presente cuestión de inconstitucionalidad es idéntico al de otras muchas planteadas por el mismo órgano judicial respecto del mismo artículo, aunque referidos a apartados distintos, que han sido inadmitidas a trámite por carecer notoriamente de fundamento, en los términos que esta expresión ha sido entendida por este Tribunal (AATC 207/2005, 222/2005 y sucesivos), por lo que tratándose de una cuestión ya resuelta, interesa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Séptima de la Sala de lo Contencioso-Administrativo de la Audiencia Nacional una cuestión de inconstitucionalidad en relación con el apartado 1.3.2 del art. 66 Ley 13/2000, de 28 de</w:t>
      </w:r>
    </w:p>
    <w:p w:rsidRPr="00C21FFE" w:rsidR="00AD51A7" w:rsidRDefault="008777C4">
      <w:pPr>
        <w:rPr/>
      </w:pPr>
      <w:r w:rsidRPr="&lt;w:rPr xmlns:w=&quot;http://schemas.openxmlformats.org/wordprocessingml/2006/main&quot;&gt;&lt;w:lang w:val=&quot;es-ES_tradnl&quot; /&gt;&lt;/w:rPr&gt;">
        <w:rPr/>
        <w:t xml:space="preserve">diciembre, de presupuestos generales del Estado para el año 2001, por si pudiera ser contrario a los arts. 9.3, 31.1 y 38 de la Constitución Española.</w:t>
      </w:r>
    </w:p>
    <w:p w:rsidRPr="00C21FFE" w:rsidR="00AD51A7" w:rsidRDefault="008777C4">
      <w:pPr>
        <w:rPr/>
      </w:pPr>
      <w:r w:rsidRPr="&lt;w:rPr xmlns:w=&quot;http://schemas.openxmlformats.org/wordprocessingml/2006/main&quot;&gt;&lt;w:lang w:val=&quot;es-ES_tradnl&quot; /&gt;&lt;/w:rPr&gt;">
        <w:rPr/>
        <w:t xml:space="preserve">Como correctamente apunta el Fiscal General del Estado, las dudas suscitadas por el órgano judicial ya han sido resueltas en los AATC 207/2005, de 10 de mayo (cuestión núm. 2369-2004 en relación con el apartado 2.2.4) y 222/2005, de 24 de mayo (cuestión núm. 2677-2004 en relación con el apartado 2.2.4), y aplicada su doctrina a los AATC 347/2005, de 27 de septiembre (cuestión núm. 2342-2004 en relación con el apartado 1.3.3), 348/2005, de 27 de septiembre (cuestión núm. 2715-2004 en relación con el apartado 1.3.3) y 349/2005, de 27 de septiembre (cuestión núm. 2744-2004 en relación con el apartado 1.3.5), todas ellas planteadas respecto del art. 66 de la misma Ley 13/200 por el mismo órgano judicial, en los que este Tribunal ha considerado que las citadas cuestiones se encontraban notoriamente infundadas, en los términos que esta expresión ha sido entendida por este Tribunal (entre muchos,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Pr="00C21FFE" w:rsidR="00AD51A7" w:rsidRDefault="008777C4">
      <w:pPr>
        <w:rPr/>
      </w:pPr>
      <w:r w:rsidRPr="&lt;w:rPr xmlns:w=&quot;http://schemas.openxmlformats.org/wordprocessingml/2006/main&quot;&gt;&lt;w:lang w:val=&quot;es-ES_tradnl&quot; /&gt;&lt;/w:rPr&gt;">
        <w:rPr/>
        <w:t xml:space="preserve">En efecto, con relación a la posible contradicción entre la norma cuestionada y el principio de interdicción de la arbitrariedad del art. 9.3 CE, por el hecho de haberse variado la cuantía de la tasa de reserva del dominio público radioeléctrico, apuntábamos que la norma cuestionada “podrá ser criticable desde un punto de vista técnico o económico, pero en modo alguno merece reproche desde el punto de vista constitucional, en su contraste con el principio de interdicción de la arbitrariedad (art.  9.3 CE), pues, ni la media adoptada establece una discriminación arbitraria ni tampoco carece de una finalidad razonable” (ATC 207/2005, FJ 5). En este sentido, ni los coeficientes cuestionados establecen una discriminación entre sujetos o categorías de sujetos ni la nueva cuantía que se les asigna carece de una finalidad razonable, al perseguir ajustar el coste de la tasa al valor real de mercado del uso de un bien escaso.</w:t>
      </w:r>
    </w:p>
    <w:p w:rsidRPr="00C21FFE" w:rsidR="00AD51A7" w:rsidRDefault="008777C4">
      <w:pPr>
        <w:rPr/>
      </w:pPr>
      <w:r w:rsidRPr="&lt;w:rPr xmlns:w=&quot;http://schemas.openxmlformats.org/wordprocessingml/2006/main&quot;&gt;&lt;w:lang w:val=&quot;es-ES_tradnl&quot; /&gt;&lt;/w:rPr&gt;">
        <w:rPr/>
        <w:t xml:space="preserve">También rechazábamos que aquel incremento en la cuantía de la tasa fuese contrario al deber de contribuir a los gastos mediante un sistema tributario justo (art. 31.1 CE), dado que, “si la cuantía de la tasa es fruto de la concesión administrativa y tiende a compensar a la sociedad por el uso privativo que del dominio público hace una entidad privada con ánimo de lucro, no cabe duda que desde el plano de la estricta constitucionalidad ningún reproche se le puede hacer, al haberse calculado de forma proporcional al beneficio potencial que previsiblemente podía reportar al titular de la concesión” (ATC 207/2005, FJ 6).</w:t>
      </w:r>
    </w:p>
    <w:p w:rsidRPr="00C21FFE" w:rsidR="00AD51A7" w:rsidRDefault="008777C4">
      <w:pPr>
        <w:rPr/>
      </w:pPr>
      <w:r w:rsidRPr="&lt;w:rPr xmlns:w=&quot;http://schemas.openxmlformats.org/wordprocessingml/2006/main&quot;&gt;&lt;w:lang w:val=&quot;es-ES_tradnl&quot; /&gt;&lt;/w:rPr&gt;">
        <w:rPr/>
        <w:t xml:space="preserve">Finalmente, concluíamos que la pretendida desproporción en la cuantía de la tasa aplicada durante el ejercicio 2001 tampoco incidía en la libertad de empresa del art. 38 CE, porque nos encontramos ante una medida que no sólo “no es excluyente del acceso al mercado ni obstaculizadora del ejercicio libre de la actividad”, sino simplemente fruto de una concesión administrativa para el uso privativo del dominio público que es, precisamente, “la que permite a la entidad concesionaria el ejercicio de una actividad económica de carácter lucrativo” (ATC 207/2005, FJ 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6950-2004 planteada por la Sección Séptima de la Sala de lo Contencioso-Administrativo de la Audiencia Nacional en el recurso núm. 1734-2001.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