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noviembre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350-2004), el Auto de la referida Sala de 22 de septiembre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octubre de 2001 la Consejería de Economía, Industria y Comercio de la Junta de Extremadura giró a la empresa “Explotaciones Rústicas Ruca, S.A.” una liquidación provisional en concepto de Impuesto sobre el suelo sin edificar y edificaciones ruinosas por un importe total, tras corregir un error cometido en la determinación de su cuantía, de 1.378,53 €.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6-2003) ante la Junta Económico-Administrativa de la Junta de Extremadura, ésta fue desestimada por Resolución de 12 de enero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350-2004) ante la Sala de lo Contencioso-Administrativo del Tribunal Superior de Justicia de Extremadura. Admitido y tramitado el recurso, y una vez conclusos lo autos, el día 4 de julio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22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2006,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 de febrero de 2006, interesando la inadmisión a trámite de la cuestión de inconstitucionalidad. En efecto, tras exponer brevemente los antecedentes de la cuestión, el Fiscal pone de manifiesto que el objeto de la presente cuestión de inconstitucionalidad es idéntico al de otras muchas planteadas por el mismo Tribunal Superior de Justicia de Extremadura que han sido inadmitidas a trámite por carecer notoriamente de fundamento, en los términos que esta expresión ha sido entendida por este Tribunal (ATC 417/2005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2006</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