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17 de diciembre de 2003 la Procuradora de los Tribunales doña Elena Paula Yustos Capilla, en nombre y representación de don Ramón Gutiérrez Ávila, interpuso recurso de amparo contra el Auto de la Sección Primera de la Audiencia Provincial de Ciudad Real de 18 de noviembre de 2003, denegatorio de la prescripción de la pena de arresto por el tiempo de dieciocho fines de semana, con las accesorias de suspensión de todo cargo público y de derecho de sufragio durante el tiempo de condena, impuesta al demandante de amparo por Sentencia firme del Juzgado de lo Penal núm.1 de esa misma ciudad con fecha de 30 de diciembre de 1996. En la demanda de amparo se solicitaba, por otrosí digo, la suspensión de la pena impuesta hasta tanto no se resuelva el presente recurso de amparo, dado que, habida cuenta de su corta extensión, la no suspensión de la misma haría perder al recurso su finalidad produciendo al demandante de amparo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enero de 2006 la Sala Segunda acordó admitir a trámite la presente demanda de amparo así como formar la correspondiente pieza separada de suspensión de conformidad con lo solicitado por la parte actora. Por otra providencia de esa misma fecha la Sala acordó, de conformidad con lo dispuesto en el art. 56 LOTC, conceder un plazo común de tres días al Ministerio Fiscal y al demandante de amparo para que, dentro de dicho término,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trámite de alegaciones mediante escrito registrado en este Tribunal con fecha de 7 de febrero de 2006, en el que, de conformidad con la reiterada doctrina dictada al respecto por este Tribunal, consideraba procedente la suspensión, exclusivamente, de la ejecución de la pena privativa de libertad impuesta al demandante de amparo, así como de las accesorias, no debiendo alcanzar tal efecto al resto de los pronunciamientos contenidos en la Sentencia dado que, al ser de contenido económico, su no suspensión no ocasionaría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por su parte, evacuó idéntico trámite mediante escrito de fecha 1 de febrero de 2006, en el que reiteraba su petición de suspensión de la ejecución de la pena de arresto por tiempo de dieciocho fines de semana que le había sido impuesta por Sentencia firme.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general reseñada al caso presente conduce a acordar la suspensión interesada en lo relativo a la pena privativa de libertad, dado que, de no suspenderse, podría ocasionarse al recurrente un perjuicio irreparable, toda vez que, como ya hemos declarado en anteriores ocasiones (por todas: AATC 269/1998, de 26 de noviembre y 84/2002, de 20 de mayo), estando comprendida la duración de la condena (arresto por tiempo de dieciocho fines de semana) dentro de la posible duración de la tramitación del presente recurso, previsiblemente dicha pena privativa de libertad estaría a punto de cumplirse —o se habría cumplido ya en su totalidad— en dicho momento, lo que hace que, conforme también declarábamos en las ocasiones anteriormente mencionadas, los intereses generales asociados a la ejecución de toda Sentencia penal en lo que a privación de libertad se refiere se encuentren, en este caso, muy debilitados.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suspensión de la pena privativa de libertad conlleva asimismo la de la pena accesoria de suspensión de todo cargo público y del derecho de sufragio pasivo durante el tiempo de la condena, por seguir dicha pena la suerte de la principal a la que acompaña y no apreciarse que la suspensión de su ejecución pueda afectar a los derechos de terceros (AATC 131/2001, de 22 de mayo y 151/2001, de 18 de junio,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Conceder la suspensión de la ejecución solicitada exclusivamente en lo que a la pena de arresto por tiempo de dieciocho fines de semana y a las penas accesorias de suspensión de todo cargo público y del derecho de sufragio durante el tiempo de la condena</w:t>
      </w:r>
    </w:p>
    <w:p w:rsidRPr="" w:rsidR="00AD51A7" w:rsidRDefault="008777C4">
      <w:pPr>
        <w:rPr/>
      </w:pPr>
      <w:r w:rsidRPr="&lt;w:rPr xmlns:w=&quot;http://schemas.openxmlformats.org/wordprocessingml/2006/main&quot;&gt;&lt;w:szCs w:val=&quot;24&quot; /&gt;&lt;/w:rPr&gt;">
        <w:rPr/>
        <w:t xml:space="preserve">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