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2005 tuvo entrada en el Registro de este Tribunal escrito firmado por la Procuradora de los Tribunales doña Marta Uriarte Muerza, en representación de don José Ligero Leyva, en virtud del cual interponía recurso de amparo contra los Autos de la Sección Tercera de la Audiencia Provincial de Córdoba, de 2 de junio de 2005, que acordó no haber lugar a conceder al demandante de amparo los beneficios de la suspensión de la condena del art. 80 CP, y de 10 de octubre de 2005, que desestimó el recurso de súplica interpuesto contra el anterior, recaídos ambos en el rollo núm. 24-2002, procedente del procedimiento abreviado núm. 121-2001, del Juzgado de Instrucción núm. 7 de Córdoba. Por Sentencia del mismo órgano judicial, de 24 de febrero de 2003, el Sr. Ligero Leyva había sido condenado, como autor criminalmente responsable de un delito de estafa, a la pena de dos años de prisión, suspensión de empleo o cargo público, profesión u oficio, y derecho de sufragio pasivo durante todo el tiempo de la condena, y a que indemnizara a los perjudicados en la suma de 65.050 euros, más los intereses legales de dicha cantidad. Dicha condena fue confirmada en casación por Sentencia de la Sala Segunda del Tribunal Supremo de 27 de septiembre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el primero de los Autos recurridos vulnera los arts. 24.1 y 2 y 120.3 CE porque no se le han concedido los beneficios penitenciarios de manera arbitraria e inmotivada y sin permitirle emplear los medios de prueba idóneos para su defensa. Asimismo, por medio de otrosí, solicitó la suspensión de los Autos impugnados, puesto que, de lo contrario, se le ocasionaría un perjuicio que haría perder al amparo su finalidad, siendo así que, por el contrario, la suspensión de la ejecución no perturbaría ni los intereses generales ni el derecho de la parte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marzo de 2006 la Sala Segunda acordó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Marta Uriarte Muerza presenta escrito en este Tribunal el 31 de marzo de 2006, al que adjunta certificaciones de las hospitalizaciones, así como el informe médico alertando sobre su gravedad, y en el que señala que al ser admitida a trámite la demanda de amparo presentada en su momento, es criterio de este Tribunal conceder la suspensión de la condena, máxime cuando “se trata de un enfermo grave que ha sido condenado por hechos ocurridos hace más de diez años y que se encuentra en la actualidad (o debería encontrarse) cumpliendo un régimen estricto de tratamiento médico y que la posibilidad de reincidencia es nula”, teniendo en cuenta, además, que la finalidad del cumplimiento de la condena es siempre la rehabilitación del individuo y nunca su padecimiento innecesario. Por todo ello concluye interesando la suspensión de la condena y que el Tribunal ordene la inmediata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5 de abril de 2006, manifiesta no oponerse a la suspensión solicitada, entendiendo que resulta trasladable a este caso lo que se dijo en el ATC 283/2000 (FJ 2), en el que se trataba también de la suspensión de una condena de corta duración de un recurrente afectado de un padecimiento incurable. Añade que “[e]n este caso la pena privativa de libertad impuesta en la Sentencia es de dos años de prisión (según se dice en la demanda de amparo, puesto que no se ha aportado copia de la Sentencia). La duración de esta pena debe calificarse como breve y, aunque sea deseable que se tramite y resuelva el recurso de amparo en este plazo, el recurso perdería su finalidad si no se acordase la suspensión”. </w:t>
      </w:r>
    </w:p>
    <w:p w:rsidRPr="00C21FFE" w:rsidR="00AD51A7" w:rsidRDefault="008777C4">
      <w:pPr>
        <w:rPr/>
      </w:pPr>
      <w:r w:rsidRPr="&lt;w:rPr xmlns:w=&quot;http://schemas.openxmlformats.org/wordprocessingml/2006/main&quot;&gt;&lt;w:lang w:val=&quot;es-ES_tradnl&quot; /&gt;&lt;/w:rPr&gt;">
        <w:rPr/>
        <w:t xml:space="preserve">Asimismo, afirma el Fiscal que, en este caso, la eficacia de la suspensión en relación con la salvaguarda del derecho fundamental a la libertad personal requiere no sólo la suspensión de los Autos denegatorios del beneficio solicitado, sino también la de la ejecución de la Sentencia, por lo que la suspensión debe extenderse a esta resolución una vez se aporte copia de la misma para acreditar los términos en que está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Sala Segunda de este Tribunal requirió al recurrente para que aportara copia de la Sentencia de cuya ejecución trae causa el presente recurso, lo que éste hizo con fecha 6 de abril de 2006. En ella, como consta en el encabezamiento de este Auto, se condena al actor a la pena de dos años de prisión, suspensión de empleo o cargo público, profesión u oficio, y derecho de sufragio pasivo durante todo el tiempo de la condena, y a que indemnice a los perjudicados en la suma de 65.050 €, más los intereses legales de dicha cantidad.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hay que recordar la doctrina sentada en un supuesto similar por este Tribunal en el ATC 283/2000, FJ 2, en el que establecimos que: “En el presente asunto, en el que la demanda se dirige frente a lo que se considera una denegación arbitraria del beneficio de la suspensión de la condena, es evidente que la duración de la pena es una circunstancia que adquiere especial significación”. Pues bien, en el presente caso la pena privativa de libertad puede entenderse como breve -dos años-, lo que, unido a que, según la documentación aportada a los autos, el recurrente sufre una enfermedad incurable, haría posible que, de no suspenderse la ejecución de las resoluciones recurridas, el amparo pudiera perder su finalidad, con lo que el daño para el derecho fundamental invocado sería ya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resulta evidente que, como señala el Ministerio Fiscal, aunque el objeto del presente recurso de amparo se circunscribe a la impugnación de los Autos denegatorios de la suspensión solicitada, es lo cierto que su finalidad sólo puede alcanzarse si, al mismo tiempo, se decreta la suspensión de la ejecución de la pena privativa de libertad impuesta en la Sentencia de 24 de febrero de 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Otorgar la suspensión de la pena privativa de libertad de dos años de prisión impuesta por la Sentencia de la Sección Tercera de la Audiencia Provincial de Córdoba de 24 de febrero de 2003, así como la de los Autos de 2 de junio y 10 de octubre de 2005,</w:t>
      </w:r>
    </w:p>
    <w:p w:rsidRPr="" w:rsidR="00AD51A7" w:rsidRDefault="008777C4">
      <w:pPr>
        <w:rPr/>
      </w:pPr>
      <w:r w:rsidRPr="&lt;w:rPr xmlns:w=&quot;http://schemas.openxmlformats.org/wordprocessingml/2006/main&quot;&gt;&lt;w:szCs w:val=&quot;24&quot; /&gt;&lt;/w:rPr&gt;">
        <w:rPr/>
        <w:t xml:space="preserve">recaídos en el rollo núm. 24-2002 procedente del procedimiento abreviado núm. 121-2001, del Juzgado de Instrucción núm. 7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