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8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15 de octubre de 2003, la Procuradora de los Tribunales doña Isabel Juliá Corujo, en nombre y representación de don Cipriano Fluixá Castelló, interpuso recurso de amparo contra la Sentencia de la Sala Segunda del Tribunal Supremo de 25 de septiembre de 2003, por la que se casó la Sentencia absolutoria dictada por la Sección Segunda de la Audiencia Provincial de Valencia con fecha de 13 de julio de 2002, en procedimiento seguido contra el actor por delitos de prevaricación y contra el medio ambiente, dictándose otra Sentencia, en la que se impusieron las siguientes penas: 24 meses de multa, a razón de una cuota diria por importe de 50.000 pesetas e inhabilitación especial para empleo o cargo público por tiempo de ocho años, por el primero de dichos delitos; y a las penas de un año de prisión , multa de veinticuatro meses, con idéntica cuota diaria , e inhabilitación especial para profesión u oficio por tiempo de dos años, por el segundo.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diciembre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de alegaciones mediante escrito registrado en este Tribunal con fecha de 27 de diciembre de 2005 en el que, de conformidad con la reiterada doctrina dictada al respecto por este Tribunal, consideraba procedente la suspensión, exclusivamente, de la ejecución de la pena privativa de libertad impuesta al demandante de amparo, dada la corta duración de la misma. En cuanto a las penas de inhabilitación para cargo público por tiempo de ocho años y de inhabilitación especial para el desempeño de profesión u oficio por tiempo de dos años, entiende el Ministerio Fiscal que al no tratarse en este caso de penas accesorias que hubieran de seguir la suerte de la principal, sino de penas establecidas como principales por los tipos penales aplicados, ha de seguirse el criterio general relativo a la duración de las mismas acordándose únicamente la suspensión de la ejecución de la mencionada en segundo lugar, dado que su corta duración podría ocasionar que, caso de concederse, el amparo hubiese perdido su objeto ocasionándose al recurrente un perjuicio irreparable. Finalmente, a juicio del Ministerio Fiscal no procede la suspensión de la ejecución del resto de los pronunciamientos contenidos en la sentencia dado que, al ser de contenido económico, su no suspensión no ocasionaría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por su parte, evacuó idéntico trámite mediante escrito de fecha 28 de diciembre de 2005 en el que solicitaba la suspensión de la ejecución de todas las penas impuestas al demandante de amparo en atención a las siguientes razones: 1) la de la pena de prisión, por motivo de su corta duración (un año)que haría perder al amparo su finalidad; 2) la de las penas de multa, por razón de que la incidencia de su ejecución en el patrimonio del actor sería desproporcionada dado su montante (72 millones de pesetas) e irreversible el perjuicio que con ello se le ocasionaría ya que su nómina mensual como ATS asciende a 1.574,65 euros, con el añadido de una pequeña retribución por turnos de guardia (según se acredita por la aportación de las nóminas de junio y octubre de 2005), lo que hace imposible el pago, siquiera sea parcial, de las mencionadas multas -por lo demás impuestas sin consideración alguna a la previsión legal establecida en el art.53 CP y, en consecuencia, contra legem- y podría determinar su ingreso en prisión por impago de las referidas multas (se citan a este respecto los AATC 88/1997, de 17 de marzo y 378/1997, de 24 de noviembre); y 3) la de las penas de inhabilitación, por cuanto su ejecución comporta una evidente afección al derecho del demandante de amparo al honor, siendo además la de inhabilitación especial de tan corta duración (dos años) que, previsiblemente, de no suspenderse su ejecución el amparo, caso de concederse, habría perdido ya su finalidad respecto de la misma al haberse cumplido en su integridad.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en primer lugar, a acordar la suspensión interesada en lo relativo a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suspensión de la pena privativa de libertad no conlleva en este caso automáticamente la suspensión de las penas de inhabilitación para cargo público y para profesión u oficio, asimismo impuestas al demandante de amparo por la Sentencia recurrida, ya que las mismas no tienen en este caso naturaleza de penas accesorias que según nuestra doctrina hubieran de seguir la suerte de la pena principal, sino que poseen carácter autónomo respecto de esta última. Habida cuenta de ello, procede únicamente la suspensión de la ejecución de la pena de inhabilitación especial para profesión u oficio por tiempo de dos años, dado que su corta duración podría determinar que el amparo solicitado, caso de concederse, hubiera perdido todo efecto útil respecto de la misma. No procede, en cambio, la suspensión de la pena de inhabilitación para todo cargo público por tiempo de ocho años, toda vez que el demandante de amparo cesó en su condición de Alcalde Presidente de la Corporación municipal de Xeresa (Valencia) con fecha de 28 de enero de 2005, esto es, bastante tiempo antes de haber recaído contra él la Sentencia condenatoria dictada por la Sala Segunda del Tribunal Supremo con fecha de 25 de septiembre de 2005 y sin que conste la existencia de conexión entre dicho cese y la ejecución de la indicada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Especial consideración merece, finalmente, la solicitud de suspensión de la ejecución de las penas de multa impuestas al recurrente por un montante singularmente elevado y sin consideración a su situación patrimonial ya que, tanto la elevada cuantía de las mismas como el resto de las circunstancias concurrentes alegadas, nos conducen excepcionalmente, en este caso, a adoptar una decisión favorable a la suspensión de su ejecución. En efecto las alegaciones presentadas y los sustratos documentales aportados permiten entender que el demandante de amparo ha fundamentado en forma razonable los motivos por los que considera que la no suspensión del pago de las dos penas de multa que le fueron impuestas por la Sentencia recurrida le ocasionaría un perjuicio patrimonial irreparable que haría perder su finalidad al amparo solicitado caso de que eventualmente le fuera concedido (vid., en sentido similar, el ATC 407/2004, de 2 de noviembre). Esa misma excepcionalidad habrá de conducirnos en este caso a una pronta resolución del amparo a fin de no perjudicar el interés general en la pronta ejecución de las resoluciones judiciales. Todo ello sin perjuicio de que por los órganos judiciales competentes se adopten las medidas que se estimen pertinentes para asegurar las obligaciones a las que tendría que hacer frente el recurrente en el caso de que no se le otorgara el amparo que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solicitada en lo que a la pena privativa de libertad, a las penas de multa y a la pena de inhabilitación especial para profesión u oficio se refiere, y no suspender la de inhabilitación especial para empleo o cargo público.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