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153</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8 de mayo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noviembre de 2004 el Procurador de los Tribunales don José Ignacio de Noriega Arquer, en nombre y representación de la Diputación Provincial de Cádiz, interpuso recurso de amparo contra el Auto dictado por la Sección Sexta de la Sala de lo Contencioso-Administrativo de la Audiencia Nacional, de 30 de septiembre de 2004, que desestimaba el incidente de nulidad de actuaciones formulado contra la Sentencia de 25 de junio de 2004, que declaraba la inadmisibilidad del recurso núm. 686-2001.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21 de febrero de 2006 la Sala Segunda de este Tribunal acordó, respectivamente, admitir a trámite el presente recurso de amparo y formar la correspondiente pieza para la tramitación del incidente de suspensión, de conformidad con lo solicitado por la parte actora, concediendo un plazo común de tres días a la parte recurrente y al Ministerio Fiscal para que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mediante escrito registrado el 2 de marzo de 2006, se opone a la suspensión solicitada, puesto que “la demandante de amparo no ha justificado qué perjuicio le causa la resolución de desestimación del incidente de nulidad que pueda aliviarse con la suspensión de lo resuelto, ya que, aún en el supuesto de que se suspendiera la resolución recurrida, quedaría vigente la Sentencia que declara inadmisible el recurso contencioso-administrativo, con lo que la situación de la Administración aquí demandante quedaría igual. Mucho menos se ha fundamentado la irreparabilidad del perjuicio que le causa el Auto cuya suspensión solicita, ni tampoco cómo puede este perjuicio hacer perder al amparo su finalidad. La justificación de estos extremos es carga de la demandante de amparo, y su omisión determina la desestimación de la petición de suspensión ya que, si no corresponde al Tribunal Constitucional reconstruir de oficio las demandas de amparo, menos le compete intentar averiguar el perjuicio que puede deparar a la parte demandante la ejecución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 la recurrente, mediante escrito registrado con fecha 2 de marzo de 2006, formuló alegaciones con las que reiteraba su petición de suspensión de la ejecución “del acto impugnado”, sustentando dicha petición en los arts. 233 LGT y 173 LBRL, normas que considera de aplicación dado que la pretensión contencioso- administrativa consistía en la declaración de los bienes de dominio público provincial como no sujetos a tributo alguno, y en la apariencia de buen derecho de la citada pretensión administrativa.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los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agotadoras de la vía judicial previa, la suspensión de su ejecución entraña siempre en sí misma una perturbación de la potestad jurisdiccional, que comprende el poder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cautelar de carácter excepcional y de aplicación restrictiva (AATC 2/2001, de 15 de enero; 45/2001, de 26 de febrero; 64/2001, de 26 de marzo; 78/2001, de 2 de abril, y 83/2001, de 23 de abril). Por ello la adopción de esta medida resulta pertinente sólo cuando la ejecución del fallo cause al solicitante de amparo un perjuicio irreparable en los derechos fundamentales invocados en el proceso constitucional, debiendo entenderse por perjuicio irreparable aquél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la doctrina general reseñada al presente caso conduce a denegar la suspensión de la ejecución de las resoluciones impugnadas, de acuerdo con lo interesado por el Ministerio Fiscal. En primer lugar, conviene poner de manifiesto que la concreta resolución judicial cuya suspensión solicita la recurrente es un Auto que declara no haber lugar a la petición de nulidad de actuaciones interesada respecto de una Sentencia firme, es decir, en relación con una resolución judicial que pone fin al proceso por motivos estrictamente formales y sin entrar a considerar siquiera el fondo de la pretensión. Dichas resoluciones, por su propia naturaleza, no son susceptibles de ser suspendidas al ser meramente declarativas. Y, en segundo lugar, incluso si las resoluciones impugnadas tuvieran un contenido condenatorio, en este caso, de condena —directa o indirectamente— al pago de una concreta cantidad económica que la propia Sentencia impugnada valoró en una cuantía inferior a 150.253 euros, la demandante de amparo tampoco habría cumplido con la carga procesal que sobre ella recae de alegar y probar el carácter irreparable del perjuicio económico padecido, respecto de lo cual nada se dice en la demanda ni en el escrito de alegaciones.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interesada por la Diputación Provincial de Cádiz.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