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agosto de 2002, la Letrada de la Junta de Andalucía, en la representación que legalmente ostenta, promueve conflicto positivo de competencias contra el art. 6.1, párrafo segundo, del Real Decreto 330/2002, de 5 de abril, por el que se concretan determinados aspectos de la normativa europea reguladora de la ayuda a la producción de algodón.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 por providencia de la Sección Cuarta de 17 de septiembre de 2002, el Abogado del Estado formuló sus alegaciones mediante escrito de 16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abril de 2006, la Letrada de la Junta de Andalucía, presenta en este Tribunal un escrito en el que expuso que, debidamente autorizada en virtud del Acuerdo del Consejo de Gobierno de aquélla de 21 de marzo de 2006, solicita tener por desistido a dicho Consejo de Gobierno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25 de abril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mayo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del Consejo de Gobierno de la Junta de Andalucía, en la representación que legalmente ostenta, del conflicto positivo de competencias núm. 4813- 2002, planteado en relación con el art. 6.1, párrafo segundo, del Real</w:t>
      </w:r>
    </w:p>
    <w:p w:rsidRPr="" w:rsidR="00AD51A7" w:rsidRDefault="008777C4">
      <w:pPr>
        <w:rPr/>
      </w:pPr>
      <w:r w:rsidRPr="&lt;w:rPr xmlns:w=&quot;http://schemas.openxmlformats.org/wordprocessingml/2006/main&quot;&gt;&lt;w:szCs w:val=&quot;24&quot; /&gt;&lt;/w:rPr&gt;">
        <w:rPr/>
        <w:t xml:space="preserve">Decreto 330/2002, de 5 de abril, por el que se concretan determinados aspectos de la normativa europea reguladora de la ayuda a la producción de algodón,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