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493-2001),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493-2001 interpuesto por “Unión Fenosa Generación, S.A.” ante la Sala de lo Contencioso-Administrativo del Tribunal Superior de Justicia de Extremadura, contra la Resolución de la Junta Económico-Administrativa Regional de Extremadura de fecha de 1 de marzo de 2001, que desestima la reclamación (núm. 1269/99) interpuesta contra la Resolución del Jefe de Servicio de gestión tributaria e Ingresos de la Consejería de Economía, Industria y Hacienda, de fecha de 15 de septiembre de 1999, por la que se desestima la petición de devolución de la cantidad ingresada como consecuencia de la declaración-liquidación presentada por el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8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1226-2005,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