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467-2003),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467-2003 interpuesto por “Unión Fenosa Generación, S.A.” ante la Sala de lo Contencioso-Administrativo del Tribunal Superior de Justicia de Extremadura, contra la Resolución de la Junta Económico-Administrativa Regional de Extremadura de fecha de 27 de enero de 2003, que desestima la reclamación (núm. 219-2002) interpuesta contra la Resolución del Jefe de Servicio de Gestión Tributaria e Ingresos de la Consejería de Economía, Industria y Hacienda, de fecha de 30 de octubre de 2002, por la que se desestima la petición de devolución de la cantidad ingresada como consecuencia de la declaración-liquidación presentada por el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1228-2005,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