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febrero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747-2003), el Auto de la referida Sala de 8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747-2003 interpuesto por “ Saltos del Jerte, S.L.” ante la Sala de lo Contencioso-Administrativo del Tribunal Superior de Justicia de Extremadura, contra la Resolución de la Junta Económico-Administrativa Regional de Extremadura de fecha de 10 de abril de 2003, que desestima la reclamación (núm. 327-2002) interpuesta contra la liquidación girada por el Impuesto extremeño sobre Instalaciones que incidan en el medio ambiente correspondientes a los ejercicios 1998, 1999, 2000 y 2001. Admitido y tramitado el citado recurso, y una vez conclusos los autos, el día 13 de enero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 para establecer y exigir sus propios tributos de acuerdo con la Constitución y la Leyes”, condiciona dicha potestad a que dichos tributos no puedan “ recaer sobre hechos imponibles gravados por el Estado” pero sí sobre “ las materias que la legislación de Régimen Local reserve a las Corporaciones Locales”, aunque sólo, “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Tercera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31 de octubre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Miguel Prieto Benítez,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 el carácter finalista del tributo se materializa en unos términos que pueden reputarse respetuosos con la prohibición de doble imposición establecida por el artículo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8 de febrero de 2005,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7/1997, de 29 de mayo, de normas fiscales sobre producción y transporte de energía que incidan sobre el medio ambiente, por si pudiera ser contraria al art. 6.3 de la Ley Orgánica 8/1980, de 22 de septiembre, de financiación de las</w:t>
      </w:r>
    </w:p>
    <w:p w:rsidRPr="00C21FFE" w:rsidR="00AD51A7" w:rsidRDefault="008777C4">
      <w:pPr>
        <w:rPr/>
      </w:pPr>
      <w:r w:rsidRPr="&lt;w:rPr xmlns:w=&quot;http://schemas.openxmlformats.org/wordprocessingml/2006/main&quot;&gt;&lt;w:lang w:val=&quot;es-ES_tradnl&quot; /&gt;&lt;/w:rPr&gt;">
        <w:rPr/>
        <w:t xml:space="preserve">Comunidades Autónomas (LOFCA), que impide a las Comunidades Autónomas establecer impuestos sobre “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1229-2005,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