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1619-2002), el Auto de la referida Sala de 11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1619-2002 interpuesto por “Iberdrola Distribución Eléctrica, S.A.” ante la Sala de lo Contencioso-Administrativo del Tribunal Superior de Justicia de Extremadura, contra la Resolución de la Junta Económico-Administrativa Regional de Extremadura de fecha 29 de octubre de 2002, que desestima la reclamación (núm. 161-2002) interpuesta contra la Resolución del Jefe del Servicio de Inspección Fiscal de la Dirección General de Ingresos de la Consejería de Economía, Industria y Comercio de la Junta de Extremadura con fecha de 13 de mayo de 2002, por la que se desestima el recurso de reposición planteado contra la liquidación por el Impuesto extremeño sobre instalaciones que incidan en el medio ambiente correspondiente al ejercicio 2001.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2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doña Ana C. Sánchez-Barriga Leitón, Letrada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artículo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11 de febrero de 2005,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7/1997, de 29 de mayo, de normas fiscales sobre producción y transporte de energía que incidan sobre el medio ambiente, por si pudiera ser contraria al art. 6.3 de la Ley Orgánica 8/1980, de 22 de septiembre, de financiación de las</w:t>
      </w:r>
    </w:p>
    <w:p w:rsidRPr="00C21FFE" w:rsidR="00AD51A7" w:rsidRDefault="008777C4">
      <w:pPr>
        <w:rPr/>
      </w:pPr>
      <w:r w:rsidRPr="&lt;w:rPr xmlns:w=&quot;http://schemas.openxmlformats.org/wordprocessingml/2006/main&quot;&gt;&lt;w:lang w:val=&quot;es-ES_tradnl&quot; /&gt;&lt;/w:rPr&gt;">
        <w:rPr/>
        <w:t xml:space="preserve">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1306-2005,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