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239</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28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199-2001), el Auto de la referida Sala de 11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199-2001 interpuesto por “Endesa Generación, S.A., S.U.” ante la Sala de lo Contencioso-Administrativo del Tribunal Superior de Justicia de Extremadura, contra la Resolución presunta de la Junta Económico-Administrativa Regional de Extremadura, que desestima la reclamación (núm. 1299/99) interpuesta contra la Resolución de la Consejería de Economía, Industria y Comercio de la Junta de Extremadura con fecha de 15 de septiembre de 1999 por la que se deniega la petición de devolución de ingresos indebidos en relación con el Impuesto extremeño sobre instalaciones que incidan en el medio ambiente correspondiente al ejercicio 1999.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Cuarta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3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don Salvador Mateos Sánchez,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11 de febrero de 2005,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1346-2005,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