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198-2001), el Auto de la referida Sala de 11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198-2001 interpuesto por “Endesa, S.A.,” ante la Sala de lo Contencioso-Administrativo del Tribunal Superior de Justicia de Extremadura, contra la Resolución presunta de la Junta Económico-Administrativa Regional de Extremadura, desestimatoria de la reclamación (núm. 1298/92) interpuesta contra la Resolución de la Dirección General de Ingresos de la Consejería de Economía, Industria y Comercio de la Junta de Extremadura con fecha de 15 de septiembre de 1999, que deniega la petición de devolución de ingresos indebidos en relación con el Impuesto extremeño sobre instalaciones que incidan en el medio ambiente correspondiente al ejercicio 1999.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José Ángel Rodríguez Jiménez,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11 de febrero de 2005,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1790-2005,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