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824-2001),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824-2001 interpuesto por “Unión Fenosa Generación, S.A.” ante la Sala de lo Contencioso-Administrativo del Tribunal Superior de Justicia de Extremadura, contra la Resolución de la Junta Económico-Administrativa Regional de Extremadura de fecha 16 de abril de 2001, desestimatoria de la reclamación (núm. 935-2000) interpuesta contra la Resolución de la Dirección General de Ingresos de la Consejería de Economía, Industria y Comercio de la Junta de Extremadura con fecha de 3 de octubre de 2000, que deniega la petición de devolución de ingresos indebidos en relación con el Impuesto extremeño sobre Instalaciones que incidan en el medio ambiente correspondiente al ejercicio 2000.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11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1791-2005,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