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898-2003), el Auto de la referida Sala de 3 de marzo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898-2003 interpuesto por “Red Eléctrica de España, S.A.” ante la Sala de lo Contencioso-Administrativo del Tribunal Superior de Justicia de Extremadura, contra la Resolución de la Junta Económico-Administrativa Regional de Extremadura de fecha 10 de abril de 2003, desestimatoria de la reclamación (núm. 16-2003) interpuesta contra la Resolución de la Dirección General de Ingresos de la Consejería de Economía, Industria y Comercio de la Junta de Extremadura de fecha de 12 de diciembre de 2002 por la que se deniega la petición de devolución de ingresos indebidos formulada en relación con el Impuesto extremeño sobre Instalaciones que incidan en el medio ambiente correspondiente al ejercicio 2002. Admitido y tramitado el citado recurso, y una vez conclusos los autos, el día 14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3 de marzo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2044-2005,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