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528-2004), el Auto de la referida Sala de 25 de julio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528-2004 interpuesto por “Red Eléctrica de España, S.A.” ante la Sala de lo Contencioso-Administrativo del Tribunal Superior de Justicia de Extremadura, contra la Resolución de la Junta Económico-Administrativa Regional de Extremadura de fecha de 10 de marzo de 2004, desestimatoria de la reclamación (núm. 283-2003) interpuesta contra la Resolución de 2 de octubre de 2003 de la Dirección General de Ingresos de la Consejería de Economía, Industria y Comercio de la Junta de Extremadura que desestima la solicitud de devolución de ingresos indebidos en relación con el Impuesto extremeño sobre instalaciones que incidan en el medio ambiente correspondiente al ejercicio 2003. Admitido y tramitado el citado recurso, y una vez conclusos los autos, el día 16 de junio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25 de julio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6504-2005,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