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1687-2003), el Auto de la referida Sala de 9 de enero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1687-2003 interpuesto por “Iberdrola Distribución Eléctrica, S.A.U.” ante la Sala de lo Contencioso-Administrativo del Tribunal Superior de Justicia de Extremadura, contra la Resolución de la Junta Económico-Administrativa Regional de Extremadura de fecha de 8 de octubre de 2003, desestimatoria de la reclamación (núm. 348-2002) interpuesta contra la Resolución de la Dirección General de Ingresos de la Consejería de Economía, Industria y Comercio de la Junta de Extremadura con fecha de 30 de octubre de 2002 por la que se desestima la petición de devolución de ingresos indebidos en concepto de Impuesto extremeño sobre Instalaciones que incidan en el medio ambiente correspondiente al ejercicio 2002. Admitido y tramitado el citado recurso, y una vez conclusos los autos, el día 21 de noviembre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febrero de 2006,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61, de 13 de marzo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15 de marzo de 2006 se recibió una comunicación del Presidente del Senado, en el sentido de que se tuviera a dicha Cámara por personada en el procedimiento y por ofrecida su colaboración a los efectos del art. 88.1 LOTC. Posteriormente, el día 21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10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22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evacuó el trámite conferido mediante escrito registrado el día 23 de marzo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23 de marzo de 2006, doña Caridad Domínguez Perals, Letrada de la Asamblea de Extremadura, en nombre y representación de la misma, evacuó el trámite de alegaciones solicitando se declare que la Ley 7/1997, de 29 de mayo,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9 de enero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874-2006,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