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262</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febrero de 2006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761-2005), el Auto de la referida Sala de 13 de febrero de 2006,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761-2005 interpuesto por “Endesa Distribución Eléctrica, S.L., S.U.” ante la Sala de lo Contencioso-Administrativo del Tribunal Superior de Justicia de Extremadura, contra la Resolución de la Junta Económico-Administrativa Regional de Extremadura de fecha de 6 de mayo de 2005, desestimatoria de la reclamación (núm. 174-2004) interpuesta contra la Resolución de la Dirección General de Ingresos de la Consejería de Economía, Industria y Comercio de la Junta de Extremadura con fecha de 6 de octubre de 2004 por la que se desestima la petición de devolución de ingresos indebidos en relación con el Impuesto extremeño sobre instalaciones que incidan en el medio ambiente correspondiente al ejercicio 2004. Admitido y tramitado el citado recurso, y una vez conclusos los autos, el día 11 de enero de 2006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del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2006, la Sección Segunda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76, de 30 de marzo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30 de marzo de 2006 se recibió una comunicación del Presidente del Senado, en el sentido de que se tuviera a dicha Cámara por personada en el procedimiento y por ofrecida su colaboración a los efectos del art. 88.1 LOTC. Posteriormente, el día 31 de marzo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24 de marzo de 2006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el día 7 de abril de 2006, don Francisco Javier Ciriero Soleto, Letrado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día 11 de abril de 2006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fechado el día 17 de abril de 2006,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13 de febrero de 2006,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2078-2006,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