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mayo de 2004, el Procurador de los Tribunales don Fernando Ruiz de Velasco Martínez Ercilla, en nombre y representación de don José Luis Varez Fisa y doña María Milagros Benegas Mendía, y bajo la dirección del Letrado don Bartolomé Alfonso Ferrer, interpuso recurso de amparo contra el Auto del Juzgado de Primera Instancia núm. 51 de Madrid de 16 de abril de 2004, dictado en el procedimiento de ejecución provisional núm 204-2004, exclusivamente respecto del pronunciamiento relativo a la imposición de costas en dicho incidente, solicitando que se suspendiera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20 de julio de 2006,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por escrito registrado el 28 de julio de 2006, presentaron alegaciones poniendo de manifiesto que las costas están todavía siendo objeto de tasación, pero que su cuantía será elevada, ya que la ejecución provisional fue despachada por un total de 12.154.482,47 €, que ya ha sido consignado, con seria afectación a su patrimonio, por lo que la no suspensión agravaría la situación causando graves perjuicios. Igualmente se destaca, en segundo lugar, que teniendo en cuenta la apariencia de buen derecho del recurso y que la contraparte carece de bienes conocidos, si no se suspende la ejecución el recurso de amparo podría perder su finalidad, al ser difícil su ulterior recuperación.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 de septiembre de 2006, presentó alegaciones interesando la denegación de la suspensión, al tratarse de una condena con contenido económico cuya ejecución no causaría un perjuicio irreparable ni perjudicaría la finalidad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reiterado que la ejecución de resoluciones cuyos efectos son patrimoniales o de contenido económico ni causan un perjuicio irreparable al obligado al pago ni la eventual estimación del amparo les haría perder su finalidad, toda vez que es legalmente posible en caso de estimación que se obtenga la devolución de lo pagado, si bien se ha admitido excepcionalmente su suspensión en supuestos en que por su cuantía se acreditaran perjuicios económicos difícilmente reparables (por todos, ATC 152/2006, de 8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tal como también expone el Ministerio Fiscal, se ha de denegar la suspensión solicitada. Por un lado, la suspensión se refiere a un pronunciamiento de exclusivo contenido económico cuya cuantía, aunque pueda ser elevada, todavía no ha sido siquiera fijada en vía judicial, tal como reconocen los propios solicitantes. Y, por otro, no se ha acreditado en qué consistiría el perjuicio económico o de qué modo la ejecución haría perder la finalidad del amparo. En efecto, si bien se hace mención, en cuanto a lo primero, a la posible elevada cuantificación de las costas y al hecho de que ya se han consignado en concepto de ejecución provisional 12.154.482,47 €, ninguna justificación ni alegación se realiza en cuanto a la imposibilidad o dificultad económica real de los recurrente, en relación a su patrimonio, para hacer frente al pago de las costas impuestas en el incidente de ejecución provisional. E, igualmente, en cuanto a lo segundo, la referencia que se hace a la eventual imposibilidad de recuperar lo abonado en caso de estimarse el amparo por la insolvencia de la contraparte, está absolutamente ayuna de cualquier justificación.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