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409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15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junio de 2004 se registró en el Tribunal Constitucional la demanda de amparo presentada, en representación de Msi que encanto, S.L., por el Procurador de los Tribunales don José A. Sola Pellón contra el Auto de 17 de febrero de 2004 dictado por la Sección Duodécima de la Audiencia Provincial de Madrid, que revocó el Auto de 3 de mayo de 2002 del Juzgado núm. 3 de Móstoles, en autos de ejecución núm. 157-2002, denegatorio de la pretensión solicitada por la contraparte, por vulneración del derecho a una tutela judicial efectiva en su vertiente de intangibilidad de las resoluciones judiciales firmes (art. 24.1 CE), solicitando al mismo tiempo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septiembre de 2006 la Sala Segunda de este Tribunal acordó la admisión a trámite de la demanda y se acordó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septiembre de 2006 la Sala Segunda de este Tribunal acordó, de conformidad con el art. 56 LOTC, conceder un plazo común de tres días al Ministerio Fiscal y a la parte recurrente para que realizasen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27 de septiembre de 2006 la parte recurrente reitera la solicitud de suspensión alegando que la vulneración alegada lleva aparejada la pérdida de una vivienda unifamiliar comprada por los cónyuges don José y doña Soledad, familia propietaria de Msi que encanto, S.L., a quienes de despacharse la ejecución se les causarían graves perjuicios morales y un desequilibrio económico por la proyección de vivir en ella. Se alega que el objeto del amparo es la conservación del patrimonio familiar cuyo contrato de compraventa no llegó a elevarse a escritura pública por divergencias en su interpretación.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5 de octubre de 2006 el Ministerio Fiscal interesó la denegación de la suspensión solicitada. Tras recordar la doctrina constitucional sobre la materia y que el art. 56 LOTC responde a criterios racionales de equilibrio entre los intereses del recurrente, los generales de la sociedad y los derechos de terceros, manifiesta que es claro que en materia de solicitudes de suspensión de resoluciones judiciales que afectan intereses patrimoniales el criterio es el de la no suspensión, porque en principio no causan perjuicios irreparables por más que puedan producir efectos desfavorables al demandante en amparo, sin que concurran en el presente como supuestos excepcionales en los que la ejecución de lo acordado acarree perjuicios patrimoniales difícilmente reparables por su entidad, por la imposibilidad de repercutir su costo o por la irreversibilidad de las situaciones jurídicas que puedan producirse, no habiendo ofrecido quien recurre justificación alguna al respecto. No obstante, propone que este Tribunal acuerde la anotación preventiva de la demanda de amparo en el Registro de la Propiedad a fin de garantizar los derechos de la recurrente frente a eventuales actos de disposición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 (por todos, ATC 228/2001, de 24 de julio, FJ 2).</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 anterior, y respecto de eventuales perjuicios de carácter patrimonial o de contenido fundamentalmente económico, es doctrina reiterada de este Tribunal que, dada la posibilidad de proceder a su reparación posterior mediante su restitución o mediante fórmulas indemnizatorias o sustitutivas, no pueden considerarse, en principio, como causa suficiente para acordar la suspensión de la ejecución de una resolución judicial firme (AATC 573/1985, 574/1985, 151/1998, 275/1990, 118/1996 y 117/1999, por todos). 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y 99/1998),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nos ocupa la empresa Fomín, S.L. había solicitado que se declarara el incumplimiento de la hoy recurrente en amparo, se emitiera certificación declarando la resolución judicial de la compraventa por dicho incumplimiento y se remitiera oficio al Registro de la Propiedad núm. 2 de Pozuelo de Alarcón para proceder a la cancelación registral de la anotación preventiva de la demanda que grava la finca objeto de contrato. El Auto recurrido en su parte dispositiva revoca el dictado por el Juez de Primera Instancia núm. 3, ordena dictar otra resolución por la que se ordene despachar la ejecución solicitada, debiendo seguir ésta por sus específicos trámites.</w:t>
      </w:r>
    </w:p>
    <w:p w:rsidRPr="00C21FFE" w:rsidR="00AD51A7" w:rsidRDefault="008777C4">
      <w:pPr>
        <w:rPr/>
      </w:pPr>
      <w:r w:rsidRPr="&lt;w:rPr xmlns:w=&quot;http://schemas.openxmlformats.org/wordprocessingml/2006/main&quot;&gt;&lt;w:lang w:val=&quot;es-ES_tradnl&quot; /&gt;&lt;/w:rPr&gt;">
        <w:rPr/>
        <w:t xml:space="preserve">Como puede verse el efecto principal de esta decisión de ejecución recurrida en amparo es la cancelación de la anotación preventiva de la demanda que grava la finca objeto de contrato, por lo que conviene recordar la doctrina contenida en el ATC 43/2001, de 26 de febrero, al ser aplicable al caso.</w:t>
      </w:r>
    </w:p>
    <w:p w:rsidRPr="00C21FFE" w:rsidR="00AD51A7" w:rsidRDefault="008777C4">
      <w:pPr>
        <w:rPr/>
      </w:pPr>
      <w:r w:rsidRPr="&lt;w:rPr xmlns:w=&quot;http://schemas.openxmlformats.org/wordprocessingml/2006/main&quot;&gt;&lt;w:lang w:val=&quot;es-ES_tradnl&quot; /&gt;&lt;/w:rPr&gt;">
        <w:rPr/>
        <w:t xml:space="preserve">En este Auto se decía que “es evidente que la admisión a trámite del presente recurso de amparo abre un proceso que, en el caso de que se otorgase en su día el amparo, podría conducir a que la Sentencia de este Tribunal declarase la nulidad del acto o resoluciones judiciales que hayan impedido el pleno ejercicio y efectividad del derecho fundamental que se alega como vulnerado, adoptando las medidas necesarias para el restablecimiento del derecho lesionado. De ello se sigue, que la Sentencia que pueda recaer en el presente recurso de amparo puede producir sobre las inscripciones y asientos regístrales de la finca litigiosa los mismos efectos de anulación o destructores de la fe pública registral que podría haber causado la Sentencia judicial recurrida, en el caso de que se hubiese estimado la demanda del ahora solicitante del amparo” (FJ 3).</w:t>
      </w:r>
    </w:p>
    <w:p w:rsidRPr="00C21FFE" w:rsidR="00AD51A7" w:rsidRDefault="008777C4">
      <w:pPr>
        <w:rPr/>
      </w:pPr>
      <w:r w:rsidRPr="&lt;w:rPr xmlns:w=&quot;http://schemas.openxmlformats.org/wordprocessingml/2006/main&quot;&gt;&lt;w:lang w:val=&quot;es-ES_tradnl&quot; /&gt;&lt;/w:rPr&gt;">
        <w:rPr/>
        <w:t xml:space="preserve">Añadiéndose en el FJ 4 que “por todo ello, si bien no puede accederse a la solicitud de suspensión tal y como viene planteada por el recurrente, o sea no puede acordarse la suspensión de la ejecución de la Sentencia recurrida, procede tener en cuenta que si la adjudicataria de la finca que es objeto del pleito civil realizase algún acto de disposición, los derechos del recurrente sobre el inmueble podrían verse afectados e, incluso de forma irreversible, si el que los adquiriese fuese un tercero protegido por la buena fe registral, por lo que la Sala decide, a fin de garantizar y preservar los derechos del recurrente, acordar la anotación preventiva de la demanda de amparo, medida cautelar que este Tribunal, de conformidad con el art. 56.1 LOTC, puede, además, adoptar de oficio o a instancia de parte, con fundamento en el art. 42-1.° LH (AATC 81/1995, 114/1996, 164/1996, entre otros muchos)”. Doctrina reiterada, entre otros, por el ATC 274/2002, de 18 de diciembre de 2002,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atención a lo expuesto, a pesar de que no procede acceder a la pretensión de la solicitud de suspensión tal como ha sido formulada por la entidad demandante de amparo, este Tribunal sí está facultado, como propone el Ministerio Fiscal, para acordar la anotación preventiva de la demanda de amparo en el Registro de la Propiedad, a fin de garantizar y preservar los derechos de aquélla frente a eventuales actos de disposición de terceros. De este modo a través de la publicidad registral que garantiza la anotación preventiva se consigue cautelarmente, frente a los actos posteriores que puedan perjudicarlos, preservar los derechos inscritos del demandante de amparo afectados por la vulneración del derecho fundamental objeto del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de la ejecución del Auto de 17 de febrero de 2004 dictado por la Sección Duodécima de la Audiencia Provincial recaído en el rollo de apelación núm. 484-2002.</w:t>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en el que se halla inscrita la finca objeto del juicio, a cuyo efecto el Juzgado de Primera Instancia núm. 3 de Móstoles adoptará las medidas pertinentes para que</w:t>
      </w:r>
    </w:p>
    <w:p w:rsidRPr="" w:rsidR="00AD51A7" w:rsidRDefault="008777C4">
      <w:pPr>
        <w:rPr/>
      </w:pPr>
      <w:r w:rsidRPr="&lt;w:rPr xmlns:w=&quot;http://schemas.openxmlformats.org/wordprocessingml/2006/main&quot;&gt;&lt;w:szCs w:val=&quot;24&quot; /&gt;&lt;/w:rPr&gt;">
        <w:rPr/>
        <w:t xml:space="preserve">pueda practicarse el asiento registral.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