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410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6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4137-2004, promovido por Ibermutuamur, Mutua de Accidentes de Trabajo y Enfermedades Profesionales de la Seguridad Social, núm. 274, representada por el Procurador de los Tribunales don Victorio Venturini Medina, se recurren la Sentencia de fecha 18 de abril de 2003 y el Auto de 11 de marzo de 2004 dictados por la Sección Segunda de la Sala Tercera del Tribunal Supremo en el recurso de casación núm 5274-1998. </w:t>
      </w:r>
    </w:p>
    <w:p w:rsidRPr="00C21FFE" w:rsidR="00AD51A7" w:rsidRDefault="008777C4">
      <w:pPr>
        <w:rPr/>
      </w:pPr>
      <w:r w:rsidRPr="&lt;w:rPr xmlns:w=&quot;http://schemas.openxmlformats.org/wordprocessingml/2006/main&quot;&gt;&lt;w:lang w:val=&quot;es-ES_tradnl&quot; /&gt;&lt;/w:rPr&gt;">
        <w:rPr/>
        <w:t xml:space="preserve">Mediante escrito de fecha 9 de octubre de 2006 los Magistrados don Ramón Rodríguez Arribas y don Pascual Sala Sánchez comunicaron, a los efectos oportunos, que se abstenían de intervenir en la tramitación y resolución del indicado recurso, de conformidad con el art. 219.11ª LOPJ al haber formado parte de la Sección que dictó la Sentencia del Tribunal Supremo, frente a la que se formula la demanda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Ramón Rodríguez Arribas y don Pascual Sala Sánchez, en virtud de lo previsto en los arts. 80 LOTC y 221.4 LOPJ, se estima justificada la causa de abstención formulada, puesto que los mencionados Magistrados han formado parte de la Sección de la Sala Tercera del Tribunal Supremo que dictó la Sentencia de 18 de abril de 2003 y el Auto de 11 de marzo de 2004 en el recurso de casación núm. 5274-1998, contra los que se interpone 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don Ramón Rodríguez Arribas y don Pascual Sala Sánchez en el recurso de amparo núm 4137-2004, apartándole definitivamente del referido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