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abril de 2005, el Procurador de los Tribunales don Marcos A. Labajo González, interpuso, en nombre de don Félix Miguel Fernández, recurso de amparo contra la Sentencia de la Sección Decimosexta de la Audiencia Provincial de Madrid, de fecha 8 de marzo de 2005, dictada en el rollo de apelación núm. 91-2005, que estimó el recurso de apelación interpuesto contra la Sentencia del Juzgado de lo Penal núm. 27 de los de Madrid, de fecha 2 de diciembre de 2004, en el procedimiento abreviado núm. 371-2004, y, con revocación de ésta última, condenó al solicitante de amparo como autor de un delito contra la propiedad industrial, a la pena de un año de prisión, con inhabilitación especial para el ejercicio del derecho de sufragio pasivo durante el tiempo de la condena, multa de 12 meses con cuota de diaria de 6 euros, al pago de las costas procesales de instancia y a que abonara determinadas indemnizaciones.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violación de sus derechos a un proceso con todas las garantías (art. 24.2 CE), a la tutela judicial efectiva (art. 24.1 CE) y a la presunción de inocencia (art. 24.2 CE), subsidiariamente el derecho a la asistencia letrada (art. 24.2 CE). En la demanda de amparo se solicita también, mediante otrosí, la suspensión de la ejecución de las penas impuestas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4 de abril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presentado ante el Registro del Tribunal el día 16 de octubre de 2006 el Procurador sr. Labajo González reiteró su petición de suspensión de las penas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17 de octubre de 2006 el Ministerio Fiscal manifestó su no oposición a la suspensión solicitada de la pena privativa de libertad, alegando que es presumible que, al tiempo de resolverse el recurso, la pena de prisión haya sido cumplida en su totalidad, por lo que, de otorgarse el amparo, el mismo perdería su eficacia, oponiéndose a la suspensión de la pena pecuniaria, sin perjuicio de que en el caso de que no fuere abonada la multa impuesta y se declare de forma subsidiaria el cumplimiento de la responsabilidad personal sustitutoria, deba procederse a la suspensión de tal pena.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habida cuenta la pena privativa de libertad impuesta al demandante (pena de un año de prisión) es evidente que no suspender su ejecución le ocasionaría un perjuicio irreparable que dejaría totalmente en entredicho la eficacia de un eventual fallo estimatorio de la demanda, por cuanto la pena de prisión habría sido cumplida en su integridad.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Pr="00C21FFE" w:rsidR="00AD51A7" w:rsidRDefault="008777C4">
      <w:pPr>
        <w:rPr/>
      </w:pPr>
      <w:r w:rsidRPr="&lt;w:rPr xmlns:w=&quot;http://schemas.openxmlformats.org/wordprocessingml/2006/main&quot;&gt;&lt;w:lang w:val=&quot;es-ES_tradnl&quot; /&gt;&lt;/w:rPr&gt;">
        <w:rPr/>
        <w:t xml:space="preserve">La situación es distinta en cuanto al resto del fallo condenatorio y, en particular, en relación a la pena de multa, en cuanto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Decimosexta de la Audiencia Provincial de Madrid de 8 de marzo de 2005 (rollo núm. 91-2005), en lo relativo a la condena al recurrente a la pena privativa de libertad de un año.</w:t>
      </w:r>
    </w:p>
    <w:p w:rsidRPr="" w:rsidR="00AD51A7" w:rsidRDefault="008777C4">
      <w:pPr>
        <w:rPr/>
      </w:pPr>
      <w:r w:rsidRPr="&lt;w:rPr xmlns:w=&quot;http://schemas.openxmlformats.org/wordprocessingml/2006/main&quot;&gt;&lt;w:szCs w:val=&quot;24&quot; /&gt;&lt;/w:rPr&gt;">
        <w:rPr/>
        <w:t xml:space="preserve">Denegar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