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febrero de 2007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>1. Único. En el recurso de amparo núm.1458-2006, promovido por don Tomás Pascual Sanz y otro, representado por la Procuradora de los Tribunales doña Belén Jiménez Torrecillas, se recurre el Auto dictado por la Audiencia Provincial de Madrid, en el recurso de apelación 83-2000, del Juzgado de Primera Instancia núm. 49 de Madrid, en los autos de mayor cuantía 367-1995. Mediante escrito de fecha 29 de enero de 2006 el Magistrado don Ramón Rodríguez Arribas comunicó, a los efectos oportunos, que se abstenía de intervenir en la tramitación y resolución del indicado recurso, por concurrir en él la circunstancia contenida en el art. 219.1 LOPJ.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Ramón Rodríguez Arribas, en virtud de lo previsto en los arts. 80 LOTC y 221.4 LOPJ, se estima justificada la causa de abstención formulada.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don Ramón Rodríguez Arribas, en el recurso de amparo núm. 1458-2006, apartándole definitivamente del referido procedimiento.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doce de febrero de dos mil siete.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