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3-2003) interpuesto por la mercantil Automóviles Vegui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