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363-2002) interpuesto por la entidad mercantil Cacons,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5 de marzo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