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 de enero de 2006, al que se acompaña el correspondiente Auto de 16 de noviembre de 2005, el Juzgado de lo Contencioso- 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 administrativo (tramitado con el núm. 284/2002) interpuesto por la mercantil Promociones y Construcciones Suarez y Arteaga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26 de marzo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